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hint="eastAsia" w:ascii="ABCDEE+仿宋_GB2312" w:hAnsi="ABCDEE+仿宋_GB2312" w:eastAsia="ABCDEE+仿宋_GB2312" w:cs="ABCDEE+仿宋_GB2312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  <w:t>2</w:t>
      </w:r>
      <w:r>
        <w:rPr>
          <w:rFonts w:hint="eastAsia" w:ascii="ABCDEE+仿宋_GB2312" w:hAnsi="ABCDEE+仿宋_GB2312" w:eastAsia="ABCDEE+仿宋_GB2312" w:cs="ABCDEE+仿宋_GB2312"/>
          <w:color w:val="000000"/>
          <w:sz w:val="32"/>
          <w:szCs w:val="32"/>
        </w:rPr>
        <w:t xml:space="preserve"> </w:t>
      </w: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松阳县集体建设用地基准地价一览表</w:t>
      </w:r>
    </w:p>
    <w:p>
      <w:pPr>
        <w:widowControl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一、基准地价内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涵及基准条件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1.估价期日：2021 年 1 月 1 日。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2.土地开发程度设定: 按 “五通一平”设定，即宗地红线外通路、通上水、 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通下水、通电、通讯，宗地内部土地平整。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3.土地使用年限设定：集体商服用地：40 年；集体工矿仓储用地：50 年；宅基地：无限年。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4.容积率设定：集体商服用地:2.0；集体工矿仓储用地:1.0；宅基地：2.0。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5.土地权利设定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（1）集体商服用地：在正常市场条件下的集体商服用地使用权出让价格；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（2）集体工矿仓储用地:在正常市场条件下的集体工矿仓储用地使用权出让价格；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（3）宅基地：在符合法律法规和有关政策要求下的宅基地使用权价格。 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6.基准地价的“基准条件设定” 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表 2-1 基准地价的“基准条件”界定一览表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770"/>
        <w:gridCol w:w="199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用地类型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容积率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建筑密度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土地使用年限</w:t>
            </w:r>
          </w:p>
        </w:tc>
      </w:tr>
      <w:tr>
        <w:trPr>
          <w:trHeight w:val="12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集体商服用地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2.0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50%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40年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集体工矿仓储用地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1.0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50%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50年</w:t>
            </w:r>
          </w:p>
        </w:tc>
      </w:tr>
      <w:tr>
        <w:trPr>
          <w:trHeight w:val="12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宅基地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2.0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65%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无限年</w:t>
            </w:r>
          </w:p>
        </w:tc>
      </w:tr>
    </w:tbl>
    <w:p>
      <w:pPr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.基准地价表达方式</w:t>
      </w:r>
    </w:p>
    <w:p>
      <w:pPr>
        <w:ind w:firstLine="481" w:firstLineChars="200"/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表</w:t>
      </w:r>
      <w:r>
        <w:rPr>
          <w:rFonts w:ascii="宋体" w:hAnsi="宋体" w:eastAsia="宋体"/>
          <w:b/>
          <w:bCs/>
          <w:color w:val="000000"/>
          <w:sz w:val="24"/>
        </w:rPr>
        <w:t>2</w:t>
      </w:r>
      <w:r>
        <w:rPr>
          <w:rFonts w:hint="eastAsia" w:ascii="宋体" w:hAnsi="宋体" w:eastAsia="宋体"/>
          <w:b/>
          <w:bCs/>
          <w:color w:val="000000"/>
          <w:sz w:val="24"/>
        </w:rPr>
        <w:t>-</w:t>
      </w:r>
      <w:r>
        <w:rPr>
          <w:rFonts w:ascii="宋体" w:hAnsi="宋体" w:eastAsia="宋体"/>
          <w:b/>
          <w:bCs/>
          <w:color w:val="000000"/>
          <w:sz w:val="24"/>
        </w:rPr>
        <w:t xml:space="preserve">2 </w:t>
      </w:r>
      <w:r>
        <w:rPr>
          <w:rFonts w:hint="eastAsia" w:ascii="宋体" w:hAnsi="宋体" w:eastAsia="宋体"/>
          <w:b/>
          <w:bCs/>
          <w:color w:val="000000"/>
          <w:sz w:val="24"/>
        </w:rPr>
        <w:t>基准地价表达方式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用地类型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表达方式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商服用地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级别价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宅基地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级别价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94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工矿仓储用地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级别价</w:t>
            </w:r>
          </w:p>
        </w:tc>
      </w:tr>
    </w:tbl>
    <w:p>
      <w:pPr>
        <w:ind w:firstLine="562" w:firstLineChars="200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二、</w:t>
      </w:r>
      <w:r>
        <w:rPr>
          <w:rFonts w:ascii="宋体" w:hAnsi="宋体" w:eastAsia="宋体"/>
          <w:b/>
          <w:bCs/>
          <w:color w:val="000000"/>
          <w:sz w:val="28"/>
          <w:szCs w:val="28"/>
        </w:rPr>
        <w:t>土地定级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ascii="宋体" w:hAnsi="宋体" w:eastAsia="宋体" w:cs="宋体"/>
          <w:color w:val="000000"/>
          <w:kern w:val="0"/>
          <w:sz w:val="24"/>
          <w:lang w:bidi="ar"/>
        </w:rPr>
        <w:t>本次集体建设用地基准地价建立了商服、工矿仓储、宅基地三大类用地的不同级别范围及其基准地价体系，其中商服用地划分为6个级别，工矿仓储用地划分为5个级别，宅基地划分为6个级别；级别范围描述见下表：</w:t>
      </w:r>
    </w:p>
    <w:p>
      <w:pPr>
        <w:widowControl/>
        <w:jc w:val="center"/>
        <w:rPr>
          <w:sz w:val="24"/>
        </w:rPr>
      </w:pPr>
      <w:r>
        <w:rPr>
          <w:b/>
          <w:bCs/>
          <w:sz w:val="24"/>
        </w:rPr>
        <w:t>表</w:t>
      </w:r>
      <w:r>
        <w:rPr>
          <w:rFonts w:hint="eastAsia" w:ascii="宋体" w:hAnsi="宋体" w:eastAsia="宋体"/>
          <w:b/>
          <w:bCs/>
          <w:sz w:val="24"/>
        </w:rPr>
        <w:t>2-</w:t>
      </w:r>
      <w:r>
        <w:rPr>
          <w:rFonts w:ascii="宋体" w:hAnsi="宋体" w:eastAsia="宋体"/>
          <w:b/>
          <w:bCs/>
          <w:sz w:val="24"/>
        </w:rPr>
        <w:t>3</w:t>
      </w:r>
      <w:r>
        <w:rPr>
          <w:rFonts w:hint="eastAsia" w:ascii="宋体" w:hAnsi="宋体" w:eastAsia="宋体"/>
          <w:b/>
          <w:bCs/>
          <w:sz w:val="24"/>
        </w:rPr>
        <w:t>集体商服、宅基地级别范围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 xml:space="preserve">土地级别 </w:t>
            </w:r>
          </w:p>
        </w:tc>
        <w:tc>
          <w:tcPr>
            <w:tcW w:w="7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一级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①规划道路-松阴溪-沿山道路-环城西路-长虹中路-长虹东路-规划道路 ②屏安东路-环城西路-松阴溪-屏安东路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二级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①新海线-松阴溪-规划道路-长虹东路-长虹中路-环城西路-沿山道路-规划道路-龙丽线-新海线 ②龙丽温高速-竹溪源-松阴溪-环城西路-屏安东路-龙丽温高速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三级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①规划道路-沿山道路-长虹中路-长虹东路-万通大道-规划道路 ②八角亭小区边界-道路-沿山公路-龙丽温高速-八角亭小区边界 ③S222（旧）-松阴溪-新海线-龙丽温高速-S222（旧） ④高铁站区域开发边界范围 ⑤古市镇集中建设区范围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四级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①一、二、三级土地以外，规划区范围内 ②古市镇弹性发展区范围 ③玉岩镇规划区范围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五级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①一、二、三、四级土地以外，中心城区范围内 ②斋坛乡三级、四级土地以外区域 ③叶村乡三级、四级土地以外区域 ④古市镇三级、四级土地以外区域 ⑤四都乡区域⑥赤寿乡城镇开发边界范围内区域 ⑦樟溪乡区域内 ⑧新兴镇三级、四级土地以外区域 ⑨玉岩镇规划区范围外其他区域 ⑩大东坝镇城镇开发边界范围内区域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⑪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象溪镇城镇开发边界范围内区域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六级 </w:t>
            </w:r>
          </w:p>
        </w:tc>
        <w:tc>
          <w:tcPr>
            <w:tcW w:w="7860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①赤寿乡城镇开发边界范围外其他区域②三都乡区域 ③板桥乡区域 ④裕溪乡区域 ⑤象溪镇城镇开发边界范围外其他区域 ⑥大东坝镇城镇开发边界范围外其他区域 ⑦竹源乡区域 ⑧枫坪乡区域 ⑨安民乡区域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备注</w:t>
            </w:r>
          </w:p>
        </w:tc>
        <w:tc>
          <w:tcPr>
            <w:tcW w:w="78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上述</w:t>
            </w:r>
            <w:r>
              <w:rPr>
                <w:rFonts w:ascii="宋体" w:hAnsi="宋体"/>
                <w:kern w:val="0"/>
                <w:szCs w:val="21"/>
              </w:rPr>
              <w:t>文字表述中有简略，</w:t>
            </w:r>
            <w:r>
              <w:rPr>
                <w:rFonts w:hint="eastAsia" w:ascii="宋体" w:hAnsi="宋体"/>
                <w:kern w:val="0"/>
                <w:szCs w:val="21"/>
              </w:rPr>
              <w:t>详细</w:t>
            </w:r>
            <w:r>
              <w:rPr>
                <w:rFonts w:ascii="宋体" w:hAnsi="宋体"/>
                <w:kern w:val="0"/>
                <w:szCs w:val="21"/>
              </w:rPr>
              <w:t>以附件</w:t>
            </w:r>
            <w:r>
              <w:rPr>
                <w:rFonts w:hint="eastAsia" w:ascii="宋体" w:hAnsi="宋体"/>
                <w:szCs w:val="21"/>
              </w:rPr>
              <w:t>级别基准地价图</w:t>
            </w:r>
            <w:r>
              <w:rPr>
                <w:rFonts w:ascii="宋体" w:hAnsi="宋体"/>
                <w:kern w:val="0"/>
                <w:szCs w:val="21"/>
              </w:rPr>
              <w:t>为准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widowControl/>
        <w:rPr>
          <w:rFonts w:ascii="宋体" w:hAnsi="宋体" w:eastAsia="宋体"/>
          <w:b/>
          <w:bCs/>
          <w:color w:val="000000"/>
          <w:sz w:val="23"/>
        </w:rPr>
      </w:pPr>
    </w:p>
    <w:p>
      <w:pPr>
        <w:widowControl/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ascii="宋体" w:hAnsi="宋体" w:eastAsia="宋体"/>
          <w:b/>
          <w:bCs/>
          <w:color w:val="000000"/>
          <w:sz w:val="24"/>
        </w:rPr>
        <w:t>表2-4集体工矿仓储用地级别范围</w:t>
      </w:r>
    </w:p>
    <w:tbl>
      <w:tblPr>
        <w:tblStyle w:val="3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土地级别</w:t>
            </w:r>
          </w:p>
        </w:tc>
        <w:tc>
          <w:tcPr>
            <w:tcW w:w="7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级别范围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一级</w:t>
            </w:r>
          </w:p>
        </w:tc>
        <w:tc>
          <w:tcPr>
            <w:tcW w:w="790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规划道路-松阴溪-沿山道路-环城西路-长虹中路-长虹东路-规划道路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二级</w:t>
            </w:r>
          </w:p>
        </w:tc>
        <w:tc>
          <w:tcPr>
            <w:tcW w:w="790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一级土地范围以外，龙丽温高速-新海线-规划道路-丽安环路-五都源-万通大道-松阴溪-竹溪源-龙丽温高速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三级</w:t>
            </w:r>
          </w:p>
        </w:tc>
        <w:tc>
          <w:tcPr>
            <w:tcW w:w="790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①沿山道路-水南街道边界-衢宁铁路-松阴溪-望松王村工业园区-望松街道边界-沿山道路 ②古市镇规划区范围内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四级</w:t>
            </w:r>
          </w:p>
        </w:tc>
        <w:tc>
          <w:tcPr>
            <w:tcW w:w="790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①沿山道路-古市镇边界-赤寿乡规划区-十二都源-江南公路-龙丽温高速-规划道路-松阴溪-古市镇边界-沿山道路②象溪镇规划区范围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五级</w:t>
            </w:r>
          </w:p>
        </w:tc>
        <w:tc>
          <w:tcPr>
            <w:tcW w:w="790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一、二、三级土地以外，中心城区范围其他区域②斋坛乡三级土地以外区域③叶村乡三级土地以外区域④古市镇三级、四级土地以外区域⑤赤寿乡规划区范围以外区域⑥樟溪乡四级土地以外区域⑦新兴镇四级土地以外区域⑧象溪镇城镇开发边界范围外其他区域⑨玉岩镇、大东坝镇、竹源乡、安民乡、枫坪乡、裕溪乡、板桥乡、三都乡、四都乡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备注</w:t>
            </w:r>
          </w:p>
        </w:tc>
        <w:tc>
          <w:tcPr>
            <w:tcW w:w="790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上述</w:t>
            </w:r>
            <w:r>
              <w:rPr>
                <w:rFonts w:ascii="宋体" w:hAnsi="宋体"/>
                <w:kern w:val="0"/>
                <w:szCs w:val="21"/>
              </w:rPr>
              <w:t>文字表述中有简略，</w:t>
            </w:r>
            <w:r>
              <w:rPr>
                <w:rFonts w:hint="eastAsia" w:ascii="宋体" w:hAnsi="宋体"/>
                <w:kern w:val="0"/>
                <w:szCs w:val="21"/>
              </w:rPr>
              <w:t>详细</w:t>
            </w:r>
            <w:r>
              <w:rPr>
                <w:rFonts w:ascii="宋体" w:hAnsi="宋体"/>
                <w:kern w:val="0"/>
                <w:szCs w:val="21"/>
              </w:rPr>
              <w:t>以附件</w:t>
            </w:r>
            <w:r>
              <w:rPr>
                <w:rFonts w:hint="eastAsia" w:ascii="宋体" w:hAnsi="宋体"/>
                <w:szCs w:val="21"/>
              </w:rPr>
              <w:t>级别基准地价图</w:t>
            </w:r>
            <w:r>
              <w:rPr>
                <w:rFonts w:ascii="宋体" w:hAnsi="宋体"/>
                <w:kern w:val="0"/>
                <w:szCs w:val="21"/>
              </w:rPr>
              <w:t>为准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</w:tbl>
    <w:p>
      <w:pPr>
        <w:ind w:firstLine="562" w:firstLineChars="200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>三、集体建设用地级别基准地价</w:t>
      </w:r>
    </w:p>
    <w:p>
      <w:pPr>
        <w:ind w:firstLine="460" w:firstLineChars="200"/>
        <w:jc w:val="left"/>
        <w:rPr>
          <w:rFonts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3"/>
        </w:rPr>
        <w:t>本次集体建设用地基准地价建立了商服、工矿仓储、宅基地三大类用地的不同级别范围及其基准地价体系；不同用途基准地价详见以下基准地价表。</w:t>
      </w:r>
    </w:p>
    <w:p>
      <w:pPr>
        <w:jc w:val="center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表2-</w:t>
      </w:r>
      <w:r>
        <w:rPr>
          <w:rFonts w:ascii="宋体" w:hAnsi="宋体" w:eastAsia="宋体"/>
          <w:b/>
          <w:bCs/>
          <w:color w:val="000000"/>
          <w:sz w:val="24"/>
        </w:rPr>
        <w:t>5</w:t>
      </w:r>
      <w:r>
        <w:rPr>
          <w:rFonts w:hint="eastAsia" w:ascii="宋体" w:hAnsi="宋体" w:eastAsia="宋体"/>
          <w:b/>
          <w:bCs/>
          <w:color w:val="000000"/>
          <w:sz w:val="24"/>
        </w:rPr>
        <w:t>集体建设用地基准地价表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50"/>
        <w:gridCol w:w="1410"/>
        <w:gridCol w:w="1245"/>
        <w:gridCol w:w="1380"/>
        <w:gridCol w:w="133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  <w:jc w:val="center"/>
        </w:trPr>
        <w:tc>
          <w:tcPr>
            <w:tcW w:w="10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级别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商服用地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宅基地</w:t>
            </w:r>
          </w:p>
        </w:tc>
        <w:tc>
          <w:tcPr>
            <w:tcW w:w="2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工矿仓储用地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0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地价(元/平方米)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楼面地价(元/平方米)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地价(元/平方米)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楼面地价 (元/平方米)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地价 (元/平方米)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亩价（万元/亩)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370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375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二级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1590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795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319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300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210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728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364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141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153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五级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690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345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135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" w:hRule="atLeast"/>
          <w:jc w:val="center"/>
        </w:trPr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六级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348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--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--</w:t>
            </w:r>
          </w:p>
        </w:tc>
      </w:tr>
    </w:tbl>
    <w:p>
      <w:pPr>
        <w:widowControl/>
        <w:jc w:val="left"/>
      </w:pPr>
      <w:r>
        <w:drawing>
          <wp:inline distT="0" distB="0" distL="114300" distR="114300">
            <wp:extent cx="5219700" cy="36899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9700" cy="3690620"/>
            <wp:effectExtent l="0" t="0" r="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114300" distR="114300">
            <wp:extent cx="5219700" cy="3670935"/>
            <wp:effectExtent l="0" t="0" r="0" b="571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Autospacing="0" w:afterAutospacing="0" w:line="336" w:lineRule="auto"/>
        <w:jc w:val="both"/>
        <w:rPr>
          <w:rFonts w:ascii="ABCDEE+仿宋_GB2312" w:hAnsi="ABCDEE+仿宋_GB2312" w:eastAsia="ABCDEE+仿宋_GB2312" w:cs="ABCDEE+仿宋_GB2312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WE0MjhlMTBjNGM1ZTliY2IzMTI2OTY0ZTg2YjIifQ=="/>
  </w:docVars>
  <w:rsids>
    <w:rsidRoot w:val="00000000"/>
    <w:rsid w:val="1E3514D4"/>
    <w:rsid w:val="9BE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2022-09-22T14:11:00Z</dcterms:created>
  <dc:creator>Administrator</dc:creator>
  <cp:lastModifiedBy>徐尉斌</cp:lastModifiedBy>
  <dcterms:modified xsi:type="dcterms:W3CDTF">2022-09-26T16:39:27Z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13FDDE2D8BC548129DC14B4F657DEBE7</vt:lpwstr>
  </property>
</Properties>
</file>