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>
        <w:pict>
          <v:shape id="_x0000_s1" style="position:absolute;margin-left:252.503pt;margin-top:194.246pt;mso-position-vertical-relative:page;mso-position-horizontal-relative:page;width:36.05pt;height:73.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07" w:lineRule="auto"/>
                    <w:rPr>
                      <w:rFonts w:ascii="SimSun" w:hAnsi="SimSun" w:eastAsia="SimSun" w:cs="SimSun"/>
                      <w:sz w:val="58"/>
                      <w:szCs w:val="58"/>
                    </w:rPr>
                  </w:pP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</w:rPr>
                    <w:t>档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color w:val="F20000"/>
                      <w:spacing w:val="-2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  <w:position w:val="1"/>
                    </w:rPr>
                    <w:t>司</w:t>
                  </w:r>
                </w:p>
              </w:txbxContent>
            </v:textbox>
          </v:shape>
        </w:pict>
      </w:r>
      <w:r>
        <w:pict>
          <v:shape id="_x0000_s2" style="position:absolute;margin-left:310.111pt;margin-top:194.246pt;mso-position-vertical-relative:page;mso-position-horizontal-relative:page;width:36.2pt;height:73.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1" w:line="211" w:lineRule="auto"/>
                    <w:rPr>
                      <w:rFonts w:ascii="SimSun" w:hAnsi="SimSun" w:eastAsia="SimSun" w:cs="SimSun"/>
                      <w:sz w:val="58"/>
                      <w:szCs w:val="58"/>
                    </w:rPr>
                  </w:pP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</w:rPr>
                    <w:t>案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color w:val="F20000"/>
                      <w:spacing w:val="-2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</w:rPr>
                    <w:t>法</w:t>
                  </w:r>
                </w:p>
              </w:txbxContent>
            </v:textbox>
          </v:shape>
        </w:pict>
      </w:r>
      <w:r>
        <w:pict>
          <v:shape id="_x0000_s3" style="position:absolute;margin-left:367.719pt;margin-top:194.246pt;mso-position-vertical-relative:page;mso-position-horizontal-relative:page;width:36.35pt;height:73.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1" w:line="212" w:lineRule="auto"/>
                    <w:rPr>
                      <w:rFonts w:ascii="SimSun" w:hAnsi="SimSun" w:eastAsia="SimSun" w:cs="SimSun"/>
                      <w:sz w:val="58"/>
                      <w:szCs w:val="58"/>
                    </w:rPr>
                  </w:pP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</w:rPr>
                    <w:t>局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color w:val="F20000"/>
                      <w:spacing w:val="-2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58"/>
                      <w:szCs w:val="58"/>
                      <w:b/>
                      <w:bCs/>
                      <w:color w:val="F20000"/>
                      <w:spacing w:val="-7"/>
                    </w:rPr>
                    <w:t>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1797079</wp:posOffset>
            </wp:positionH>
            <wp:positionV relativeFrom="page">
              <wp:posOffset>7766081</wp:posOffset>
            </wp:positionV>
            <wp:extent cx="1669992" cy="161288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69992" cy="161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3962400</wp:posOffset>
            </wp:positionH>
            <wp:positionV relativeFrom="page">
              <wp:posOffset>7740631</wp:posOffset>
            </wp:positionV>
            <wp:extent cx="1644635" cy="158112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4635" cy="158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8" w:lineRule="exact"/>
        <w:rPr/>
      </w:pPr>
      <w:r/>
    </w:p>
    <w:p>
      <w:pPr>
        <w:sectPr>
          <w:pgSz w:w="11920" w:h="16840"/>
          <w:pgMar w:top="1431" w:right="1600" w:bottom="0" w:left="1469" w:header="0" w:footer="0" w:gutter="0"/>
          <w:cols w:equalWidth="0" w:num="1">
            <w:col w:w="8850" w:space="0"/>
          </w:cols>
        </w:sectPr>
        <w:rPr/>
      </w:pPr>
    </w:p>
    <w:p>
      <w:pPr>
        <w:ind w:left="258"/>
        <w:spacing w:line="849" w:lineRule="exact"/>
        <w:rPr>
          <w:rFonts w:ascii="SimSun" w:hAnsi="SimSun" w:eastAsia="SimSun" w:cs="SimSun"/>
          <w:sz w:val="58"/>
          <w:szCs w:val="58"/>
        </w:rPr>
      </w:pPr>
      <w:r>
        <w:rPr>
          <w:rFonts w:ascii="SimSun" w:hAnsi="SimSun" w:eastAsia="SimSun" w:cs="SimSun"/>
          <w:sz w:val="58"/>
          <w:szCs w:val="58"/>
          <w:b/>
          <w:bCs/>
          <w:color w:val="F20000"/>
          <w:spacing w:val="-7"/>
          <w:position w:val="18"/>
        </w:rPr>
        <w:t>浙</w:t>
      </w:r>
    </w:p>
    <w:p>
      <w:pPr>
        <w:ind w:left="258"/>
        <w:spacing w:before="1" w:line="184" w:lineRule="auto"/>
        <w:rPr>
          <w:rFonts w:ascii="SimSun" w:hAnsi="SimSun" w:eastAsia="SimSun" w:cs="SimSun"/>
          <w:sz w:val="58"/>
          <w:szCs w:val="58"/>
        </w:rPr>
      </w:pPr>
      <w:r>
        <w:rPr>
          <w:rFonts w:ascii="SimSun" w:hAnsi="SimSun" w:eastAsia="SimSun" w:cs="SimSun"/>
          <w:sz w:val="58"/>
          <w:szCs w:val="58"/>
          <w:b/>
          <w:bCs/>
          <w:color w:val="F20000"/>
          <w:spacing w:val="-7"/>
        </w:rPr>
        <w:t>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849" w:lineRule="exact"/>
        <w:rPr>
          <w:rFonts w:ascii="SimSun" w:hAnsi="SimSun" w:eastAsia="SimSun" w:cs="SimSun"/>
          <w:sz w:val="57"/>
          <w:szCs w:val="57"/>
        </w:rPr>
      </w:pPr>
      <w:r>
        <w:rPr>
          <w:rFonts w:ascii="SimSun" w:hAnsi="SimSun" w:eastAsia="SimSun" w:cs="SimSun"/>
          <w:sz w:val="57"/>
          <w:szCs w:val="57"/>
          <w:b/>
          <w:bCs/>
          <w:color w:val="F20000"/>
          <w:spacing w:val="-14"/>
          <w:position w:val="19"/>
        </w:rPr>
        <w:t>江</w:t>
      </w:r>
      <w:r>
        <w:rPr>
          <w:rFonts w:ascii="SimSun" w:hAnsi="SimSun" w:eastAsia="SimSun" w:cs="SimSun"/>
          <w:sz w:val="57"/>
          <w:szCs w:val="57"/>
          <w:color w:val="F20000"/>
          <w:spacing w:val="17"/>
          <w:position w:val="19"/>
        </w:rPr>
        <w:t xml:space="preserve">  </w:t>
      </w:r>
      <w:r>
        <w:rPr>
          <w:rFonts w:ascii="SimSun" w:hAnsi="SimSun" w:eastAsia="SimSun" w:cs="SimSun"/>
          <w:sz w:val="57"/>
          <w:szCs w:val="57"/>
          <w:b/>
          <w:bCs/>
          <w:color w:val="F20000"/>
          <w:spacing w:val="-14"/>
          <w:position w:val="19"/>
        </w:rPr>
        <w:t>省</w:t>
      </w:r>
    </w:p>
    <w:p>
      <w:pPr>
        <w:ind w:left="3"/>
        <w:spacing w:before="1" w:line="187" w:lineRule="auto"/>
        <w:rPr>
          <w:rFonts w:ascii="SimSun" w:hAnsi="SimSun" w:eastAsia="SimSun" w:cs="SimSun"/>
          <w:sz w:val="57"/>
          <w:szCs w:val="57"/>
        </w:rPr>
      </w:pPr>
      <w:r>
        <w:rPr>
          <w:rFonts w:ascii="SimSun" w:hAnsi="SimSun" w:eastAsia="SimSun" w:cs="SimSun"/>
          <w:sz w:val="57"/>
          <w:szCs w:val="57"/>
          <w:b/>
          <w:bCs/>
          <w:color w:val="F20000"/>
          <w:spacing w:val="-14"/>
        </w:rPr>
        <w:t>江</w:t>
      </w:r>
      <w:r>
        <w:rPr>
          <w:rFonts w:ascii="SimSun" w:hAnsi="SimSun" w:eastAsia="SimSun" w:cs="SimSun"/>
          <w:sz w:val="57"/>
          <w:szCs w:val="57"/>
          <w:color w:val="F20000"/>
          <w:spacing w:val="18"/>
        </w:rPr>
        <w:t xml:space="preserve">  </w:t>
      </w:r>
      <w:r>
        <w:rPr>
          <w:rFonts w:ascii="SimSun" w:hAnsi="SimSun" w:eastAsia="SimSun" w:cs="SimSun"/>
          <w:sz w:val="57"/>
          <w:szCs w:val="57"/>
          <w:b/>
          <w:bCs/>
          <w:color w:val="F20000"/>
          <w:spacing w:val="-14"/>
        </w:rPr>
        <w:t>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68" w:line="219" w:lineRule="auto"/>
        <w:rPr>
          <w:rFonts w:ascii="SimSun" w:hAnsi="SimSun" w:eastAsia="SimSun" w:cs="SimSun"/>
          <w:sz w:val="91"/>
          <w:szCs w:val="91"/>
        </w:rPr>
      </w:pPr>
      <w:r>
        <w:rPr>
          <w:rFonts w:ascii="SimSun" w:hAnsi="SimSun" w:eastAsia="SimSun" w:cs="SimSun"/>
          <w:sz w:val="91"/>
          <w:szCs w:val="91"/>
          <w:b/>
          <w:bCs/>
          <w:color w:val="F20000"/>
          <w:spacing w:val="-49"/>
        </w:rPr>
        <w:t>文件</w:t>
      </w:r>
    </w:p>
    <w:p>
      <w:pPr>
        <w:sectPr>
          <w:type w:val="continuous"/>
          <w:pgSz w:w="11920" w:h="16840"/>
          <w:pgMar w:top="1431" w:right="1600" w:bottom="0" w:left="1469" w:header="0" w:footer="0" w:gutter="0"/>
          <w:cols w:equalWidth="0" w:num="6">
            <w:col w:w="1311" w:space="100"/>
            <w:col w:w="2205" w:space="100"/>
            <w:col w:w="1055" w:space="100"/>
            <w:col w:w="1055" w:space="100"/>
            <w:col w:w="779" w:space="100"/>
            <w:col w:w="1948" w:space="0"/>
          </w:cols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2879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4"/>
        </w:rPr>
        <w:t>浙档发〔2020〕14号</w:t>
      </w:r>
    </w:p>
    <w:p>
      <w:pPr>
        <w:ind w:firstLine="40"/>
        <w:spacing w:before="224" w:line="60" w:lineRule="exact"/>
        <w:textAlignment w:val="center"/>
        <w:rPr/>
      </w:pPr>
      <w:r>
        <w:drawing>
          <wp:inline distT="0" distB="0" distL="0" distR="0">
            <wp:extent cx="5537172" cy="3817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7172" cy="3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695"/>
        <w:spacing w:before="134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23"/>
        </w:rPr>
        <w:t>浙江省档案局</w:t>
      </w:r>
      <w:r>
        <w:rPr>
          <w:rFonts w:ascii="SimSun" w:hAnsi="SimSun" w:eastAsia="SimSun" w:cs="SimSun"/>
          <w:sz w:val="41"/>
          <w:szCs w:val="41"/>
          <w:spacing w:val="193"/>
        </w:rPr>
        <w:t xml:space="preserve"> </w:t>
      </w:r>
      <w:r>
        <w:rPr>
          <w:rFonts w:ascii="SimSun" w:hAnsi="SimSun" w:eastAsia="SimSun" w:cs="SimSun"/>
          <w:sz w:val="41"/>
          <w:szCs w:val="41"/>
          <w:b/>
          <w:bCs/>
          <w:spacing w:val="23"/>
        </w:rPr>
        <w:t>浙江省司法厅关于印发</w:t>
      </w:r>
    </w:p>
    <w:p>
      <w:pPr>
        <w:ind w:left="50"/>
        <w:spacing w:before="94" w:line="219" w:lineRule="auto"/>
        <w:rPr>
          <w:rFonts w:ascii="SimSun" w:hAnsi="SimSun" w:eastAsia="SimSun" w:cs="SimSun"/>
          <w:sz w:val="41"/>
          <w:szCs w:val="41"/>
        </w:rPr>
      </w:pPr>
      <w:r>
        <w:rPr>
          <w:rFonts w:ascii="SimSun" w:hAnsi="SimSun" w:eastAsia="SimSun" w:cs="SimSun"/>
          <w:sz w:val="41"/>
          <w:szCs w:val="41"/>
          <w:b/>
          <w:bCs/>
          <w:spacing w:val="10"/>
        </w:rPr>
        <w:t>《浙江省重大行政决策档案管理办法》的通知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6"/>
        </w:rPr>
        <w:t>各市、县(市、区)档案局、司法局，省直有关单位：</w:t>
      </w:r>
    </w:p>
    <w:p>
      <w:pPr>
        <w:ind w:firstLine="710"/>
        <w:spacing w:before="145" w:line="295" w:lineRule="auto"/>
        <w:jc w:val="both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1"/>
        </w:rPr>
        <w:t>为贯彻实施《中华人民共和国档案法》《重大行政决策程</w:t>
      </w:r>
      <w:r>
        <w:rPr>
          <w:rFonts w:ascii="SimSun" w:hAnsi="SimSun" w:eastAsia="SimSun" w:cs="SimSun"/>
          <w:sz w:val="30"/>
          <w:szCs w:val="30"/>
          <w:spacing w:val="4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9"/>
        </w:rPr>
        <w:t>序暂行条例》和《浙江省重大行政决策程序规定</w:t>
      </w:r>
      <w:r>
        <w:rPr>
          <w:rFonts w:ascii="SimSun" w:hAnsi="SimSun" w:eastAsia="SimSun" w:cs="SimSun"/>
          <w:sz w:val="30"/>
          <w:szCs w:val="30"/>
          <w:spacing w:val="28"/>
        </w:rPr>
        <w:t>》,结合我省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28"/>
        </w:rPr>
        <w:t>实际，现将《浙江省重大行政决策档案管理办</w:t>
      </w:r>
      <w:r>
        <w:rPr>
          <w:rFonts w:ascii="SimSun" w:hAnsi="SimSun" w:eastAsia="SimSun" w:cs="SimSun"/>
          <w:sz w:val="30"/>
          <w:szCs w:val="30"/>
          <w:spacing w:val="27"/>
        </w:rPr>
        <w:t>法》印发你们，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28"/>
        </w:rPr>
        <w:t>请遵照执行。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7792"/>
        <w:spacing w:before="88" w:line="186" w:lineRule="exact"/>
        <w:rPr>
          <w:rFonts w:ascii="SimSun" w:hAnsi="SimSun" w:eastAsia="SimSun" w:cs="SimSun"/>
          <w:sz w:val="27"/>
          <w:szCs w:val="27"/>
        </w:rPr>
      </w:pPr>
      <w:r>
        <w:pict>
          <v:shape id="_x0000_s4" style="position:absolute;margin-left:67.5043pt;margin-top:-44.4824pt;mso-position-vertical-relative:text;mso-position-horizontal-relative:text;width:135.35pt;height:19.8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浙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4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江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4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省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8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档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40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案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4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2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5" style="position:absolute;margin-left:235.999pt;margin-top:-44.4824pt;mso-position-vertical-relative:text;mso-position-horizontal-relative:text;width:135.25pt;height:43.35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30"/>
                    <w:spacing w:before="20" w:line="470" w:lineRule="exact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浙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8"/>
                      <w:position w:val="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江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9"/>
                      <w:position w:val="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省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45"/>
                      <w:position w:val="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司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4"/>
                      <w:position w:val="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法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8"/>
                      <w:position w:val="1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  <w:position w:val="12"/>
                    </w:rPr>
                    <w:t>厅</w:t>
                  </w:r>
                </w:p>
                <w:p>
                  <w:pPr>
                    <w:ind w:left="20"/>
                    <w:spacing w:line="21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39"/>
                      <w:w w:val="106"/>
                    </w:rPr>
                    <w:t>2020年12月28日</w:t>
                  </w:r>
                </w:p>
              </w:txbxContent>
            </v:textbox>
          </v:shape>
        </w:pict>
      </w:r>
      <w:r>
        <w:pict>
          <v:shape id="_x0000_s6" style="position:absolute;margin-left:374.003pt;margin-top:7.68057pt;mso-position-vertical-relative:text;mso-position-horizontal-relative:text;width:35.35pt;height:11.2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3" w:lineRule="exact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5"/>
                      <w:position w:val="-4"/>
                    </w:rPr>
                    <w:t>—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  <w:position w:val="-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-5"/>
                      <w:position w:val="-4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position w:val="-4"/>
        </w:rPr>
        <w:t>1</w:t>
      </w:r>
    </w:p>
    <w:p>
      <w:pPr>
        <w:sectPr>
          <w:type w:val="continuous"/>
          <w:pgSz w:w="11920" w:h="16840"/>
          <w:pgMar w:top="1431" w:right="1600" w:bottom="0" w:left="1469" w:header="0" w:footer="0" w:gutter="0"/>
          <w:cols w:equalWidth="0" w:num="1">
            <w:col w:w="8850" w:space="0"/>
          </w:cols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1146"/>
        <w:spacing w:before="139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浙江省重大行政决策档案管理办法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right="10" w:firstLine="674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0"/>
        </w:rPr>
        <w:t>第一条</w:t>
      </w:r>
      <w:r>
        <w:rPr>
          <w:rFonts w:ascii="SimSun" w:hAnsi="SimSun" w:eastAsia="SimSun" w:cs="SimSun"/>
          <w:sz w:val="31"/>
          <w:szCs w:val="31"/>
          <w:spacing w:val="7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0"/>
        </w:rPr>
        <w:t>为进一步加强重大行政决策档案管理工作</w:t>
      </w:r>
      <w:r>
        <w:rPr>
          <w:rFonts w:ascii="SimSun" w:hAnsi="SimSun" w:eastAsia="SimSun" w:cs="SimSun"/>
          <w:sz w:val="31"/>
          <w:szCs w:val="31"/>
          <w:spacing w:val="19"/>
        </w:rPr>
        <w:t>，确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保重大行政决策档案完整收集、科学管理、有效利用，推进</w:t>
      </w:r>
      <w:r>
        <w:rPr>
          <w:rFonts w:ascii="SimSun" w:hAnsi="SimSun" w:eastAsia="SimSun" w:cs="SimSun"/>
          <w:sz w:val="31"/>
          <w:szCs w:val="31"/>
          <w:spacing w:val="12"/>
        </w:rPr>
        <w:t>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学、民主、依法决策，根据《中华人民共和国档案法》《重大行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政决策程序暂行条例》《浙江省实施〈中华人民共和国档案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法〉办法》和《浙江省重大行政决策程序规定》等有关规定，特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制定本办法。</w:t>
      </w:r>
    </w:p>
    <w:p>
      <w:pPr>
        <w:ind w:firstLine="674"/>
        <w:spacing w:before="188" w:line="33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1"/>
        </w:rPr>
        <w:t>第二条</w:t>
      </w:r>
      <w:r>
        <w:rPr>
          <w:rFonts w:ascii="SimSun" w:hAnsi="SimSun" w:eastAsia="SimSun" w:cs="SimSun"/>
          <w:sz w:val="31"/>
          <w:szCs w:val="31"/>
          <w:spacing w:val="6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1"/>
        </w:rPr>
        <w:t>本办法所称的重大行政决策事项，依据《重大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行政决策程序暂行条例》第三条和《浙江省重大行政决策程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序规定》第二条确定，包括以下事项：</w:t>
      </w:r>
    </w:p>
    <w:p>
      <w:pPr>
        <w:ind w:left="670"/>
        <w:spacing w:before="261" w:line="56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8"/>
        </w:rPr>
        <w:t>(一)制定有关公共服务、市场监管、社会管理、环境保护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等方面的重大公共政策和措施；</w:t>
      </w:r>
    </w:p>
    <w:p>
      <w:pPr>
        <w:ind w:left="670"/>
        <w:spacing w:before="191" w:line="56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  <w:position w:val="18"/>
        </w:rPr>
        <w:t>(二)制定经济和社会发展等方面的重要规划和重大改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革措施；</w:t>
      </w:r>
    </w:p>
    <w:p>
      <w:pPr>
        <w:ind w:left="670"/>
        <w:spacing w:before="193" w:line="558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  <w:position w:val="18"/>
        </w:rPr>
        <w:t>(三)制定开发利用、保护重要自然资源和文化资源的重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大公共政策和措施；</w:t>
      </w:r>
    </w:p>
    <w:p>
      <w:pPr>
        <w:ind w:left="670"/>
        <w:spacing w:before="191" w:line="56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  <w:position w:val="18"/>
        </w:rPr>
        <w:t>(四)决定在本行政区域实施的重大公共建设项目或对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相关群体利益可能造成较大影响的重大建设项目；</w:t>
      </w:r>
    </w:p>
    <w:p>
      <w:pPr>
        <w:ind w:left="670"/>
        <w:spacing w:before="19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(五)决定对经济社会发展有重大影响、涉及重大公共利</w:t>
      </w:r>
    </w:p>
    <w:p>
      <w:pPr>
        <w:sectPr>
          <w:footerReference w:type="default" r:id="rId4"/>
          <w:pgSz w:w="11920" w:h="16840"/>
          <w:pgMar w:top="1431" w:right="1565" w:bottom="2202" w:left="1610" w:header="0" w:footer="1944" w:gutter="0"/>
        </w:sectPr>
        <w:rPr/>
      </w:pP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3"/>
        </w:rPr>
        <w:t>益或者社会公众切身利益的其他重大事项；</w:t>
      </w:r>
    </w:p>
    <w:p>
      <w:pPr>
        <w:ind w:left="670"/>
        <w:spacing w:before="210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6"/>
        </w:rPr>
        <w:t>(六)决策机关确定的其他决策事项。</w:t>
      </w:r>
    </w:p>
    <w:p>
      <w:pPr>
        <w:ind w:left="670"/>
        <w:spacing w:before="201" w:line="552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6"/>
          <w:position w:val="17"/>
        </w:rPr>
        <w:t>具体决策事项根据决策机关决策事项目录或工作需要确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定。</w:t>
      </w:r>
    </w:p>
    <w:p>
      <w:pPr>
        <w:ind w:firstLine="674"/>
        <w:spacing w:before="211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10"/>
        </w:rPr>
        <w:t>第三条</w:t>
      </w:r>
      <w:r>
        <w:rPr>
          <w:rFonts w:ascii="SimSun" w:hAnsi="SimSun" w:eastAsia="SimSun" w:cs="SimSun"/>
          <w:sz w:val="32"/>
          <w:szCs w:val="32"/>
          <w:spacing w:val="74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0"/>
        </w:rPr>
        <w:t>本办法所称重大行政决策档案，是指决策机关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6"/>
        </w:rPr>
        <w:t>在重大行政决策活动过程中，直接形成的对国家和社会具有</w:t>
      </w:r>
    </w:p>
    <w:p>
      <w:pPr>
        <w:spacing w:before="2" w:line="217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"/>
        </w:rPr>
        <w:t>保存价值的各种文字、图表、声像等不同形式的历史记录。</w:t>
      </w:r>
    </w:p>
    <w:p>
      <w:pPr>
        <w:ind w:right="1" w:firstLine="674"/>
        <w:spacing w:before="181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11"/>
        </w:rPr>
        <w:t>第四条</w:t>
      </w:r>
      <w:r>
        <w:rPr>
          <w:rFonts w:ascii="SimSun" w:hAnsi="SimSun" w:eastAsia="SimSun" w:cs="SimSun"/>
          <w:sz w:val="32"/>
          <w:szCs w:val="32"/>
          <w:spacing w:val="6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1"/>
        </w:rPr>
        <w:t>反映决策活动，有责任追溯和凭证作用的重大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9"/>
        </w:rPr>
        <w:t>行政决策文件材料(含图表、照片、声像，下同),应当列入归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档范围，主要包括：</w:t>
      </w:r>
    </w:p>
    <w:p>
      <w:pPr>
        <w:ind w:left="670"/>
        <w:spacing w:before="229" w:line="559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  <w:position w:val="17"/>
        </w:rPr>
        <w:t>(一)决策的启动程序方面，包括决策建议、研究论证、决</w:t>
      </w:r>
    </w:p>
    <w:p>
      <w:pPr>
        <w:spacing w:before="2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定启动、明确决策承办单位等文件材料；</w:t>
      </w:r>
    </w:p>
    <w:p>
      <w:pPr>
        <w:ind w:right="3" w:firstLine="670"/>
        <w:spacing w:before="181" w:line="323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</w:rPr>
        <w:t>(二)决策的拟制过程方面，包括调查研究成果、决策草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3"/>
        </w:rPr>
        <w:t>案及说明，有关法律和政策依据，职责划分或者任务分工，征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5"/>
        </w:rPr>
        <w:t>求有关单位意见的采纳情况和不采纳理由说明及有关单位复</w:t>
      </w:r>
      <w:r>
        <w:rPr>
          <w:rFonts w:ascii="SimSun" w:hAnsi="SimSun" w:eastAsia="SimSun" w:cs="SimSun"/>
          <w:sz w:val="32"/>
          <w:szCs w:val="32"/>
          <w:spacing w:val="1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3"/>
        </w:rPr>
        <w:t>函；按照有关要求履行听证、公众参与、专家</w:t>
      </w:r>
      <w:r>
        <w:rPr>
          <w:rFonts w:ascii="SimSun" w:hAnsi="SimSun" w:eastAsia="SimSun" w:cs="SimSun"/>
          <w:sz w:val="32"/>
          <w:szCs w:val="32"/>
          <w:spacing w:val="2"/>
        </w:rPr>
        <w:t>(专业机构)咨询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4"/>
        </w:rPr>
        <w:t>论证、风险评估等程序规定的文件材料；涉及市</w:t>
      </w:r>
      <w:r>
        <w:rPr>
          <w:rFonts w:ascii="SimSun" w:hAnsi="SimSun" w:eastAsia="SimSun" w:cs="SimSun"/>
          <w:sz w:val="32"/>
          <w:szCs w:val="32"/>
          <w:spacing w:val="3"/>
        </w:rPr>
        <w:t>场主体经济活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动的，应当包含公平竞争审查的有关材料；</w:t>
      </w:r>
    </w:p>
    <w:p>
      <w:pPr>
        <w:ind w:left="670"/>
        <w:spacing w:before="181" w:line="561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  <w:position w:val="17"/>
        </w:rPr>
        <w:t>(三)合法性审查方面，负责合法性审查的司法行政机关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出具的合法性审查意见；</w:t>
      </w:r>
    </w:p>
    <w:p>
      <w:pPr>
        <w:ind w:left="670"/>
        <w:spacing w:before="179" w:line="558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5"/>
          <w:position w:val="17"/>
        </w:rPr>
        <w:t>(四)集体讨论决定方面，包括决策机关集体讨论决定的</w:t>
      </w:r>
    </w:p>
    <w:p>
      <w:pPr>
        <w:spacing w:before="2" w:line="217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会议纪要、会议议程、会议记录，向同级党委的请示报告，向同</w:t>
      </w:r>
    </w:p>
    <w:p>
      <w:pPr>
        <w:sectPr>
          <w:footerReference w:type="default" r:id="rId5"/>
          <w:pgSz w:w="11920" w:h="16840"/>
          <w:pgMar w:top="1431" w:right="1763" w:bottom="2219" w:left="1410" w:header="0" w:footer="1951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2" w:lineRule="auto"/>
        <w:rPr>
          <w:rFonts w:ascii="Arial"/>
          <w:sz w:val="21"/>
        </w:rPr>
      </w:pPr>
      <w:r/>
    </w:p>
    <w:p>
      <w:pPr>
        <w:spacing w:before="10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级人大的报告等；</w:t>
      </w:r>
    </w:p>
    <w:p>
      <w:pPr>
        <w:ind w:left="679"/>
        <w:spacing w:before="185" w:line="57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  <w:position w:val="19"/>
        </w:rPr>
        <w:t>(五)决策公布方面，包括决策的正式印发、公布、解读文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本，相关的政府公报、政府网页等；</w:t>
      </w:r>
    </w:p>
    <w:p>
      <w:pPr>
        <w:ind w:left="679"/>
        <w:spacing w:before="201" w:line="57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  <w:position w:val="19"/>
        </w:rPr>
        <w:t>(六)决策执行方面，包括决策执行效果评估、决策执行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情况报告、决策执行监督检查等文件材料；</w:t>
      </w:r>
    </w:p>
    <w:p>
      <w:pPr>
        <w:ind w:left="679"/>
        <w:spacing w:before="204" w:line="57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  <w:position w:val="19"/>
        </w:rPr>
        <w:t>(七)重大行政决策过程中形成的其他具有保存价值的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各种历史记录文件材料。</w:t>
      </w:r>
    </w:p>
    <w:p>
      <w:pPr>
        <w:ind w:right="139" w:firstLine="684"/>
        <w:spacing w:before="220" w:line="34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8"/>
        </w:rPr>
        <w:t>第五条</w:t>
      </w:r>
      <w:r>
        <w:rPr>
          <w:rFonts w:ascii="SimSun" w:hAnsi="SimSun" w:eastAsia="SimSun" w:cs="SimSun"/>
          <w:sz w:val="31"/>
          <w:szCs w:val="31"/>
          <w:spacing w:val="4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决策有关单位应当对决策启动、公众参与、专家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论证、风险评估、合法性审查、集体讨论决定、决策执行和调整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等重大行政决策全过程进行客观记录，按照规定将重大行政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决策文件材料归档保存。</w:t>
      </w:r>
    </w:p>
    <w:p>
      <w:pPr>
        <w:ind w:left="679"/>
        <w:spacing w:before="203" w:line="57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  <w:position w:val="19"/>
        </w:rPr>
        <w:t>重大行政决策文件材料归档工作应当与决策事项同步部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署、同步实施、同步检查，以确保归档工作的</w:t>
      </w:r>
      <w:r>
        <w:rPr>
          <w:rFonts w:ascii="SimSun" w:hAnsi="SimSun" w:eastAsia="SimSun" w:cs="SimSun"/>
          <w:sz w:val="31"/>
          <w:szCs w:val="31"/>
          <w:spacing w:val="-4"/>
        </w:rPr>
        <w:t>及时、完整、高效。</w:t>
      </w:r>
    </w:p>
    <w:p>
      <w:pPr>
        <w:ind w:right="141" w:firstLine="684"/>
        <w:spacing w:before="184" w:line="34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4"/>
        </w:rPr>
        <w:t>第六条</w:t>
      </w:r>
      <w:r>
        <w:rPr>
          <w:rFonts w:ascii="SimSun" w:hAnsi="SimSun" w:eastAsia="SimSun" w:cs="SimSun"/>
          <w:sz w:val="31"/>
          <w:szCs w:val="31"/>
          <w:spacing w:val="5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4"/>
        </w:rPr>
        <w:t>决策启动、公众参与、专家论证、风险评估</w:t>
      </w:r>
      <w:r>
        <w:rPr>
          <w:rFonts w:ascii="SimSun" w:hAnsi="SimSun" w:eastAsia="SimSun" w:cs="SimSun"/>
          <w:sz w:val="31"/>
          <w:szCs w:val="31"/>
          <w:spacing w:val="-5"/>
        </w:rPr>
        <w:t>、决策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执行等阶段重大行政决策文件材料由决策承办单位负责统一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收集并集中管理，同时收集合法性审查、集体讨论决定形成的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结果性文件材料，确保重大行政决策档案的齐全完整。涉及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两个及以上承办单位的，由主办单位统一归档，参与重大行政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决策相关阶段、程序、环节工作的行政主管部门，应当于所承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7"/>
        </w:rPr>
        <w:t>担的重大行政决策事项阶段性工作办结之日起60日</w:t>
      </w:r>
      <w:r>
        <w:rPr>
          <w:rFonts w:ascii="SimSun" w:hAnsi="SimSun" w:eastAsia="SimSun" w:cs="SimSun"/>
          <w:sz w:val="31"/>
          <w:szCs w:val="31"/>
          <w:spacing w:val="36"/>
        </w:rPr>
        <w:t>内，系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统、完整地向主办单位移送相关结果性文件材料原件并留存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副本。</w:t>
      </w:r>
    </w:p>
    <w:p>
      <w:pPr>
        <w:sectPr>
          <w:footerReference w:type="default" r:id="rId6"/>
          <w:pgSz w:w="11920" w:h="16840"/>
          <w:pgMar w:top="1431" w:right="1315" w:bottom="2192" w:left="1710" w:header="0" w:footer="1934" w:gutter="0"/>
        </w:sectPr>
        <w:rPr/>
      </w:pP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7" w:lineRule="auto"/>
        <w:rPr>
          <w:rFonts w:ascii="Arial"/>
          <w:sz w:val="21"/>
        </w:rPr>
      </w:pPr>
      <w:r/>
    </w:p>
    <w:p>
      <w:pPr>
        <w:ind w:right="137" w:firstLine="669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司法行政机关负责政府决策合法性审查工作并对其出具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合法性审查意见活动的全过程记录、文件材料归档和档案管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理等工作。</w:t>
      </w:r>
    </w:p>
    <w:p>
      <w:pPr>
        <w:ind w:right="112" w:firstLine="669"/>
        <w:spacing w:before="229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政府办公厅(室)负责对决策承办单位提交政府的重大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行政决策草案研究修改、履行政府集体讨论决定程序以及决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策公布、解读、监督检查的全过程记录、文件材</w:t>
      </w:r>
      <w:r>
        <w:rPr>
          <w:rFonts w:ascii="SimSun" w:hAnsi="SimSun" w:eastAsia="SimSun" w:cs="SimSun"/>
          <w:sz w:val="31"/>
          <w:szCs w:val="31"/>
          <w:spacing w:val="12"/>
        </w:rPr>
        <w:t>料归档和档案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管理等工作。</w:t>
      </w:r>
    </w:p>
    <w:p>
      <w:pPr>
        <w:ind w:firstLine="674"/>
        <w:spacing w:before="228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1"/>
        </w:rPr>
        <w:t>第七条</w:t>
      </w:r>
      <w:r>
        <w:rPr>
          <w:rFonts w:ascii="SimSun" w:hAnsi="SimSun" w:eastAsia="SimSun" w:cs="SimSun"/>
          <w:sz w:val="31"/>
          <w:szCs w:val="31"/>
          <w:spacing w:val="7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1"/>
        </w:rPr>
        <w:t>档案实体分别保存在决策承办单位、政府办公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厅(室)、司法行政机关的同一政府重大行政决策事项档案，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应分别在各自保存的案卷中标注档案关联信息；已形成电子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档案的，可将有关电子档案的访问路径、数据共享</w:t>
      </w:r>
      <w:r>
        <w:rPr>
          <w:rFonts w:ascii="SimSun" w:hAnsi="SimSun" w:eastAsia="SimSun" w:cs="SimSun"/>
          <w:sz w:val="31"/>
          <w:szCs w:val="31"/>
          <w:spacing w:val="13"/>
        </w:rPr>
        <w:t>方式记录入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卷。相关档案信息可通过业务编码、档号等予以关联。</w:t>
      </w:r>
    </w:p>
    <w:p>
      <w:pPr>
        <w:ind w:firstLine="674"/>
        <w:spacing w:before="188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2"/>
        </w:rPr>
        <w:t>第八条</w:t>
      </w:r>
      <w:r>
        <w:rPr>
          <w:rFonts w:ascii="SimSun" w:hAnsi="SimSun" w:eastAsia="SimSun" w:cs="SimSun"/>
          <w:sz w:val="31"/>
          <w:szCs w:val="31"/>
          <w:spacing w:val="4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2"/>
        </w:rPr>
        <w:t>决策有关单位对重大行政决策档案实行一事一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5"/>
        </w:rPr>
        <w:t>卷整理或专题管理，其有关内设机构应当将履行决策程序形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8"/>
        </w:rPr>
        <w:t>成的记录、材料向本单位负责档案工作的机构及时完整归</w:t>
      </w:r>
      <w:r>
        <w:rPr>
          <w:rFonts w:ascii="SimSun" w:hAnsi="SimSun" w:eastAsia="SimSun" w:cs="SimSun"/>
          <w:sz w:val="31"/>
          <w:szCs w:val="31"/>
          <w:spacing w:val="17"/>
        </w:rPr>
        <w:t>档。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9"/>
        </w:rPr>
        <w:t>归档时交接双方按照有关规范和标准审查归档文件材料质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量，根据归档目录清点核对，并履行签收登记的交接手续。</w:t>
      </w:r>
    </w:p>
    <w:p>
      <w:pPr>
        <w:ind w:right="136" w:firstLine="669"/>
        <w:spacing w:before="269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采用办公自动化或者其他业务系统办理决策事项的，应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按照来源可靠、程序规范、要素合规的法定要求，形成</w:t>
      </w:r>
      <w:r>
        <w:rPr>
          <w:rFonts w:ascii="SimSun" w:hAnsi="SimSun" w:eastAsia="SimSun" w:cs="SimSun"/>
          <w:sz w:val="31"/>
          <w:szCs w:val="31"/>
          <w:spacing w:val="12"/>
        </w:rPr>
        <w:t>决策电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子档案，即办即归或定期归档，按照长久保存</w:t>
      </w:r>
      <w:r>
        <w:rPr>
          <w:rFonts w:ascii="SimSun" w:hAnsi="SimSun" w:eastAsia="SimSun" w:cs="SimSun"/>
          <w:sz w:val="31"/>
          <w:szCs w:val="31"/>
          <w:spacing w:val="12"/>
        </w:rPr>
        <w:t>要求定期数据备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份，系统升级或平台转换时应进行数据迁移。</w:t>
      </w:r>
    </w:p>
    <w:p>
      <w:pPr>
        <w:ind w:left="674"/>
        <w:spacing w:before="216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2"/>
        </w:rPr>
        <w:t>第九条</w:t>
      </w:r>
      <w:r>
        <w:rPr>
          <w:rFonts w:ascii="SimSun" w:hAnsi="SimSun" w:eastAsia="SimSun" w:cs="SimSun"/>
          <w:sz w:val="31"/>
          <w:szCs w:val="31"/>
          <w:spacing w:val="5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2"/>
        </w:rPr>
        <w:t>重大行政决策档案整理应当遵循文件材料的形</w:t>
      </w:r>
    </w:p>
    <w:p>
      <w:pPr>
        <w:sectPr>
          <w:footerReference w:type="default" r:id="rId7"/>
          <w:pgSz w:w="11920" w:h="16840"/>
          <w:pgMar w:top="1431" w:right="1625" w:bottom="2227" w:left="1440" w:header="0" w:footer="1961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ind w:right="136"/>
        <w:spacing w:before="101" w:line="352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成规律，保持文件材料之间的有机联系，区分不同价值，便于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0"/>
        </w:rPr>
        <w:t>保管和利用。有条件的可建立重大行政决策档案专题</w:t>
      </w:r>
      <w:r>
        <w:rPr>
          <w:rFonts w:ascii="SimSun" w:hAnsi="SimSun" w:eastAsia="SimSun" w:cs="SimSun"/>
          <w:sz w:val="31"/>
          <w:szCs w:val="31"/>
          <w:spacing w:val="39"/>
        </w:rPr>
        <w:t>数据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库。</w:t>
      </w:r>
    </w:p>
    <w:p>
      <w:pPr>
        <w:ind w:firstLine="684"/>
        <w:spacing w:before="168" w:line="34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2"/>
        </w:rPr>
        <w:t>第十条</w:t>
      </w:r>
      <w:r>
        <w:rPr>
          <w:rFonts w:ascii="SimSun" w:hAnsi="SimSun" w:eastAsia="SimSun" w:cs="SimSun"/>
          <w:sz w:val="31"/>
          <w:szCs w:val="31"/>
          <w:spacing w:val="5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2"/>
        </w:rPr>
        <w:t>决策有关单位应当统筹开展传统载体档案数字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化、电子文件归档与电子档案管理的安全保密工作，根据其载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9"/>
        </w:rPr>
        <w:t>体属性进行存储和保管，采取有效措施严防信息篡改、丢失、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外泄，确保重大行政决策档案实体安全和信息安全。</w:t>
      </w:r>
    </w:p>
    <w:p>
      <w:pPr>
        <w:ind w:left="680"/>
        <w:spacing w:before="192" w:line="59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  <w:position w:val="21"/>
        </w:rPr>
        <w:t>涉密决策档案进行数字化、涉密电子文件归档与电子档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案管理应当严格遵守保密规定。</w:t>
      </w:r>
    </w:p>
    <w:p>
      <w:pPr>
        <w:ind w:firstLine="684"/>
        <w:spacing w:before="176" w:line="34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2"/>
        </w:rPr>
        <w:t>第十一条</w:t>
      </w:r>
      <w:r>
        <w:rPr>
          <w:rFonts w:ascii="SimSun" w:hAnsi="SimSun" w:eastAsia="SimSun" w:cs="SimSun"/>
          <w:sz w:val="31"/>
          <w:szCs w:val="31"/>
          <w:spacing w:val="4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2"/>
        </w:rPr>
        <w:t>利用重大行政决策档案应当遵守国家有关规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9"/>
        </w:rPr>
        <w:t>定，履行查阅手续，进行档案查阅登记和利用效果反馈记录。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档案工作人员应当对利用活动及时跟踪和监督</w:t>
      </w:r>
      <w:r>
        <w:rPr>
          <w:rFonts w:ascii="SimSun" w:hAnsi="SimSun" w:eastAsia="SimSun" w:cs="SimSun"/>
          <w:sz w:val="31"/>
          <w:szCs w:val="31"/>
          <w:spacing w:val="24"/>
        </w:rPr>
        <w:t>。</w:t>
      </w:r>
    </w:p>
    <w:p>
      <w:pPr>
        <w:ind w:right="164" w:firstLine="684"/>
        <w:spacing w:before="196" w:line="34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1"/>
        </w:rPr>
        <w:t>第十二条</w:t>
      </w:r>
      <w:r>
        <w:rPr>
          <w:rFonts w:ascii="SimSun" w:hAnsi="SimSun" w:eastAsia="SimSun" w:cs="SimSun"/>
          <w:sz w:val="31"/>
          <w:szCs w:val="31"/>
          <w:spacing w:val="4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1"/>
        </w:rPr>
        <w:t>档案主管部门会同有关部门统筹协调、</w:t>
      </w:r>
      <w:r>
        <w:rPr>
          <w:rFonts w:ascii="SimSun" w:hAnsi="SimSun" w:eastAsia="SimSun" w:cs="SimSun"/>
          <w:sz w:val="31"/>
          <w:szCs w:val="31"/>
          <w:spacing w:val="20"/>
        </w:rPr>
        <w:t>指导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监督决策有关单位落实重大行政决策全过程记录、文件材料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归档和档案管理工作职责。</w:t>
      </w:r>
    </w:p>
    <w:p>
      <w:pPr>
        <w:ind w:right="121" w:firstLine="680"/>
        <w:spacing w:before="171" w:line="34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0"/>
        </w:rPr>
        <w:t>决策有关单位应建立实施重大行政决策档案工作责任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7"/>
        </w:rPr>
        <w:t>制，其主要负责人为重大行政决策档案管理工作的第一责任</w:t>
      </w:r>
    </w:p>
    <w:p>
      <w:pPr>
        <w:spacing w:line="2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人。</w:t>
      </w:r>
    </w:p>
    <w:p>
      <w:pPr>
        <w:ind w:right="124" w:firstLine="684"/>
        <w:spacing w:before="200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3"/>
        </w:rPr>
        <w:t>第十三条</w:t>
      </w:r>
      <w:r>
        <w:rPr>
          <w:rFonts w:ascii="SimSun" w:hAnsi="SimSun" w:eastAsia="SimSun" w:cs="SimSun"/>
          <w:sz w:val="31"/>
          <w:szCs w:val="31"/>
          <w:spacing w:val="4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3"/>
        </w:rPr>
        <w:t>单位或者个人在重大行政决策档案管理过程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中违反规定的，由档案主管部门依据《中华人民共和国档案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法》《机关档案管理规定》等有关规定处理。</w:t>
      </w:r>
    </w:p>
    <w:p>
      <w:pPr>
        <w:ind w:left="684"/>
        <w:spacing w:before="188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2"/>
        </w:rPr>
        <w:t>第十四条</w:t>
      </w:r>
      <w:r>
        <w:rPr>
          <w:rFonts w:ascii="SimSun" w:hAnsi="SimSun" w:eastAsia="SimSun" w:cs="SimSun"/>
          <w:sz w:val="31"/>
          <w:szCs w:val="31"/>
          <w:spacing w:val="5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2"/>
        </w:rPr>
        <w:t>本办法所称决策机关是指县级以上地方人民</w:t>
      </w:r>
    </w:p>
    <w:p>
      <w:pPr>
        <w:sectPr>
          <w:footerReference w:type="default" r:id="rId8"/>
          <w:pgSz w:w="11920" w:h="16840"/>
          <w:pgMar w:top="1431" w:right="1355" w:bottom="2209" w:left="1680" w:header="0" w:footer="1941" w:gutter="0"/>
        </w:sectPr>
        <w:rPr/>
      </w:pP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40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政府，决策承办单位是指决策事项的承办单位。乡级人民政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府重大行政决策档案管理参照本办法执行。决策机关所属部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门可参照本办法制定本部门重大行政决策档案管理</w:t>
      </w:r>
      <w:r>
        <w:rPr>
          <w:rFonts w:ascii="SimSun" w:hAnsi="SimSun" w:eastAsia="SimSun" w:cs="SimSun"/>
          <w:sz w:val="31"/>
          <w:szCs w:val="31"/>
          <w:spacing w:val="24"/>
        </w:rPr>
        <w:t>的具体制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度。</w:t>
      </w:r>
    </w:p>
    <w:p>
      <w:pPr>
        <w:ind w:left="694"/>
        <w:spacing w:before="23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2"/>
        </w:rPr>
        <w:t>第十五条</w:t>
      </w:r>
      <w:r>
        <w:rPr>
          <w:rFonts w:ascii="SimSun" w:hAnsi="SimSun" w:eastAsia="SimSun" w:cs="SimSun"/>
          <w:sz w:val="31"/>
          <w:szCs w:val="31"/>
          <w:spacing w:val="5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2"/>
        </w:rPr>
        <w:t>本办法自2021</w:t>
      </w:r>
      <w:r>
        <w:rPr>
          <w:rFonts w:ascii="SimSun" w:hAnsi="SimSun" w:eastAsia="SimSun" w:cs="SimSun"/>
          <w:sz w:val="31"/>
          <w:szCs w:val="31"/>
          <w:spacing w:val="-7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年1月30日起施行。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710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附件：重大行政决策文件材料归档范围和保管期限表</w:t>
      </w:r>
    </w:p>
    <w:p>
      <w:pPr>
        <w:sectPr>
          <w:footerReference w:type="default" r:id="rId9"/>
          <w:pgSz w:w="11920" w:h="16840"/>
          <w:pgMar w:top="1431" w:right="1633" w:bottom="2256" w:left="1539" w:header="0" w:footer="2020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9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附件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51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2"/>
        </w:rPr>
        <w:t>重大行政决策文件材料归档范围和保管期限表</w:t>
      </w:r>
    </w:p>
    <w:p>
      <w:pPr>
        <w:rPr/>
      </w:pPr>
      <w:r/>
    </w:p>
    <w:p>
      <w:pPr>
        <w:rPr/>
      </w:pPr>
      <w:r/>
    </w:p>
    <w:p>
      <w:pPr>
        <w:spacing w:line="233" w:lineRule="exact"/>
        <w:rPr/>
      </w:pPr>
      <w:r/>
    </w:p>
    <w:tbl>
      <w:tblPr>
        <w:tblStyle w:val="2"/>
        <w:tblW w:w="87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7092"/>
        <w:gridCol w:w="853"/>
      </w:tblGrid>
      <w:tr>
        <w:trPr>
          <w:trHeight w:val="604" w:hRule="atLeast"/>
        </w:trPr>
        <w:tc>
          <w:tcPr>
            <w:tcW w:w="824" w:type="dxa"/>
            <w:vAlign w:val="top"/>
          </w:tcPr>
          <w:p>
            <w:pPr>
              <w:ind w:left="207"/>
              <w:spacing w:before="2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序号</w:t>
            </w:r>
          </w:p>
        </w:tc>
        <w:tc>
          <w:tcPr>
            <w:tcW w:w="7092" w:type="dxa"/>
            <w:vAlign w:val="top"/>
          </w:tcPr>
          <w:p>
            <w:pPr>
              <w:ind w:left="3133"/>
              <w:spacing w:before="2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1"/>
              </w:rPr>
              <w:t>归档范围</w:t>
            </w:r>
          </w:p>
        </w:tc>
        <w:tc>
          <w:tcPr>
            <w:tcW w:w="853" w:type="dxa"/>
            <w:vAlign w:val="top"/>
          </w:tcPr>
          <w:p>
            <w:pPr>
              <w:ind w:left="221"/>
              <w:spacing w:before="60" w:line="28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  <w:position w:val="5"/>
              </w:rPr>
              <w:t>保管</w:t>
            </w:r>
          </w:p>
          <w:p>
            <w:pPr>
              <w:ind w:left="221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期限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7092" w:type="dxa"/>
            <w:vAlign w:val="top"/>
          </w:tcPr>
          <w:p>
            <w:pPr>
              <w:ind w:left="2923"/>
              <w:spacing w:before="9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8"/>
              </w:rPr>
              <w:t>决策启动阶段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决策机关领导提出决策事项的指示批示、意见等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1.2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98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决策机关所属部门或者下一级政府提出决策事项建议的请示报告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等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57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24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1.3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70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人大代表、政协委员关于重大行政决策的建议、提案；公民、法人或者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其他组织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关于决策事项的书面建议等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9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1.4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有关单位、建议部门等形成的必要性、可行性等决策事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项研究论证材料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1.5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明确决策事项的承办单位(牵头单位)的材料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5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7092" w:type="dxa"/>
            <w:vAlign w:val="top"/>
          </w:tcPr>
          <w:p>
            <w:pPr>
              <w:ind w:left="2913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8"/>
              </w:rPr>
              <w:t>公众参与阶段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2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20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重大行政决策项目前期调研报告、调研论证报告及其简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要说明、公告、意见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2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2.2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召开听证会会议材料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2.2.1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听证会会议通知、公告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38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4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2.2.2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9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参加听证会人员名单(签到表)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9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2.2.3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3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听证会纪要、会议记录、听证报告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2.3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重大行政决策征集意见材料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2.3.1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4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重大行政决策征集意见的通知、公告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2.3.2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通过政府网站、报刊、新媒体等途径公开征集到的重要意见建议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2.3.3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公开征集意见建议的汇总材料及社会公众意见采纳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情况说明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2.3.4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征求相关单位、相关行业、特定利益群体的反馈意见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2.3.5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征求相关单位、相关行业、特定利益群体意见的汇总材料及意见采纳情况说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明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5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7092" w:type="dxa"/>
            <w:vAlign w:val="top"/>
          </w:tcPr>
          <w:p>
            <w:pPr>
              <w:ind w:left="2933"/>
              <w:spacing w:before="10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4"/>
              </w:rPr>
              <w:t>专家论证阶段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6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1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专家论证会议材料</w:t>
            </w:r>
          </w:p>
        </w:tc>
        <w:tc>
          <w:tcPr>
            <w:tcW w:w="8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7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3.1.1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召开专家论证会通知、邀请函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5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2.1.2</w:t>
            </w:r>
          </w:p>
        </w:tc>
        <w:tc>
          <w:tcPr>
            <w:tcW w:w="7092" w:type="dxa"/>
            <w:vAlign w:val="top"/>
          </w:tcPr>
          <w:p>
            <w:pPr>
              <w:ind w:left="12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参加专家论证会的人员名单(签到表)</w:t>
            </w:r>
          </w:p>
        </w:tc>
        <w:tc>
          <w:tcPr>
            <w:tcW w:w="853" w:type="dxa"/>
            <w:vAlign w:val="top"/>
          </w:tcPr>
          <w:p>
            <w:pPr>
              <w:ind w:left="21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</w:tbl>
    <w:p>
      <w:pPr>
        <w:spacing w:line="156" w:lineRule="exact"/>
        <w:rPr>
          <w:rFonts w:ascii="Arial"/>
          <w:sz w:val="13"/>
        </w:rPr>
      </w:pPr>
      <w:r/>
    </w:p>
    <w:p>
      <w:pPr>
        <w:sectPr>
          <w:footerReference w:type="default" r:id="rId10"/>
          <w:pgSz w:w="11920" w:h="16840"/>
          <w:pgMar w:top="1431" w:right="1525" w:bottom="2278" w:left="1615" w:header="0" w:footer="204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7072"/>
        <w:gridCol w:w="864"/>
      </w:tblGrid>
      <w:tr>
        <w:trPr>
          <w:trHeight w:val="584" w:hRule="atLeast"/>
        </w:trPr>
        <w:tc>
          <w:tcPr>
            <w:tcW w:w="824" w:type="dxa"/>
            <w:vAlign w:val="top"/>
          </w:tcPr>
          <w:p>
            <w:pPr>
              <w:ind w:left="207"/>
              <w:spacing w:before="19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序号</w:t>
            </w:r>
          </w:p>
        </w:tc>
        <w:tc>
          <w:tcPr>
            <w:tcW w:w="7072" w:type="dxa"/>
            <w:vAlign w:val="top"/>
          </w:tcPr>
          <w:p>
            <w:pPr>
              <w:ind w:left="3113"/>
              <w:spacing w:before="19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"/>
              </w:rPr>
              <w:t>归档范围</w:t>
            </w:r>
          </w:p>
        </w:tc>
        <w:tc>
          <w:tcPr>
            <w:tcW w:w="864" w:type="dxa"/>
            <w:vAlign w:val="top"/>
          </w:tcPr>
          <w:p>
            <w:pPr>
              <w:ind w:left="231"/>
              <w:spacing w:before="80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保管</w:t>
            </w:r>
          </w:p>
          <w:p>
            <w:pPr>
              <w:ind w:left="231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期限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3.1.3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专家出具的书面论证意见书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3.1.4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专家论证会记录、纪要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1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6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3.1.5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8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专家论证会的论证报告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1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255"/>
              <w:spacing w:before="15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专家论证咨询分析、意见反馈材料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3.2.1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8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专业咨询机构的论证报告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1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3.2.2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征求相关行业专家意见的函、专家反馈意见书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3.2.3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征求相关行业专家意见的汇总材料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355"/>
              <w:spacing w:before="15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7072" w:type="dxa"/>
            <w:vAlign w:val="top"/>
          </w:tcPr>
          <w:p>
            <w:pPr>
              <w:ind w:left="2883"/>
              <w:spacing w:before="9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风险评估阶段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5"/>
              <w:spacing w:before="15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决策风险评估基础材料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1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舆情跟踪材料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2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重点走访材料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会商分析材料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4.1.4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其他科学预测、综合研判材料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0" w:hRule="atLeast"/>
        </w:trPr>
        <w:tc>
          <w:tcPr>
            <w:tcW w:w="824" w:type="dxa"/>
            <w:vAlign w:val="top"/>
          </w:tcPr>
          <w:p>
            <w:pPr>
              <w:ind w:left="255"/>
              <w:spacing w:before="14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决策风险评估座谈会议材料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9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决策风险评估座谈会议通知、函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参加决策风险评估座谈会的人员名单(签到表)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4.2.3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决策风险评估座谈会议记录、会议纪要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255"/>
              <w:spacing w:before="15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各类风险评估材料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4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2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社会稳定风险评估报告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4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3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公共安全风险评估报告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9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3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生态环境风险评估报告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4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公共财政风险评估报告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4.3.5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4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其他风险评估材料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4.3.6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风险评估的总结性报告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355"/>
              <w:spacing w:before="160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5</w:t>
            </w:r>
          </w:p>
        </w:tc>
        <w:tc>
          <w:tcPr>
            <w:tcW w:w="7072" w:type="dxa"/>
            <w:vAlign w:val="top"/>
          </w:tcPr>
          <w:p>
            <w:pPr>
              <w:ind w:left="2773"/>
              <w:spacing w:before="10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合法性审查阶段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5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5.1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合法性审查相关材料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5.1.1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重大行政决策草案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4" w:hRule="atLeast"/>
        </w:trPr>
        <w:tc>
          <w:tcPr>
            <w:tcW w:w="824" w:type="dxa"/>
            <w:vAlign w:val="top"/>
          </w:tcPr>
          <w:p>
            <w:pPr>
              <w:ind w:left="155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5.1.2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合法性审查的结论性报告</w:t>
            </w:r>
          </w:p>
        </w:tc>
        <w:tc>
          <w:tcPr>
            <w:tcW w:w="864" w:type="dxa"/>
            <w:vAlign w:val="top"/>
          </w:tcPr>
          <w:p>
            <w:pPr>
              <w:ind w:left="229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</w:tbl>
    <w:p>
      <w:pPr>
        <w:spacing w:line="405" w:lineRule="auto"/>
        <w:rPr>
          <w:rFonts w:ascii="Arial"/>
          <w:sz w:val="21"/>
        </w:rPr>
      </w:pPr>
      <w:r/>
    </w:p>
    <w:p>
      <w:pPr>
        <w:ind w:left="7495"/>
        <w:spacing w:before="88" w:line="18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—9—</w:t>
      </w:r>
    </w:p>
    <w:p>
      <w:pPr>
        <w:sectPr>
          <w:footerReference w:type="default" r:id="rId11"/>
          <w:pgSz w:w="11920" w:h="16840"/>
          <w:pgMar w:top="1431" w:right="1615" w:bottom="400" w:left="153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0" w:lineRule="exact"/>
        <w:rPr/>
      </w:pPr>
      <w:r/>
    </w:p>
    <w:tbl>
      <w:tblPr>
        <w:tblStyle w:val="2"/>
        <w:tblW w:w="8760" w:type="dxa"/>
        <w:tblInd w:w="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7072"/>
        <w:gridCol w:w="864"/>
      </w:tblGrid>
      <w:tr>
        <w:trPr>
          <w:trHeight w:val="594" w:hRule="atLeast"/>
        </w:trPr>
        <w:tc>
          <w:tcPr>
            <w:tcW w:w="824" w:type="dxa"/>
            <w:vAlign w:val="top"/>
          </w:tcPr>
          <w:p>
            <w:pPr>
              <w:ind w:left="204"/>
              <w:spacing w:before="2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7072" w:type="dxa"/>
            <w:vAlign w:val="top"/>
          </w:tcPr>
          <w:p>
            <w:pPr>
              <w:ind w:left="3113"/>
              <w:spacing w:before="2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1"/>
              </w:rPr>
              <w:t>归档范围</w:t>
            </w:r>
          </w:p>
        </w:tc>
        <w:tc>
          <w:tcPr>
            <w:tcW w:w="864" w:type="dxa"/>
            <w:vAlign w:val="top"/>
          </w:tcPr>
          <w:p>
            <w:pPr>
              <w:ind w:left="231"/>
              <w:spacing w:before="60" w:line="28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  <w:position w:val="5"/>
              </w:rPr>
              <w:t>保管</w:t>
            </w:r>
          </w:p>
          <w:p>
            <w:pPr>
              <w:ind w:left="231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5"/>
              </w:rPr>
              <w:t>期限</w:t>
            </w:r>
          </w:p>
        </w:tc>
      </w:tr>
      <w:tr>
        <w:trPr>
          <w:trHeight w:val="410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60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7072" w:type="dxa"/>
            <w:vAlign w:val="top"/>
          </w:tcPr>
          <w:p>
            <w:pPr>
              <w:ind w:left="2703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8"/>
              </w:rPr>
              <w:t>集体讨论决定阶段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49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集体讨论决定会议材料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6.1.1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会议通知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6.1.2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参加会议人员名单(签到表)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6.1.3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会议决定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0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6.1.4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会议纪要、会议记录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重大行政决策草案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2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重大行政决策草案的辅助说明材料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58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253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6.4</w:t>
            </w:r>
          </w:p>
        </w:tc>
        <w:tc>
          <w:tcPr>
            <w:tcW w:w="7072" w:type="dxa"/>
            <w:vAlign w:val="top"/>
          </w:tcPr>
          <w:p>
            <w:pPr>
              <w:ind w:left="100" w:right="45"/>
              <w:spacing w:before="6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重大行政决策向上级机关(同级党委)的请示报告及上级机关(同级党委)的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批复、向同级人大的报告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20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5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7</w:t>
            </w:r>
          </w:p>
        </w:tc>
        <w:tc>
          <w:tcPr>
            <w:tcW w:w="7072" w:type="dxa"/>
            <w:vAlign w:val="top"/>
          </w:tcPr>
          <w:p>
            <w:pPr>
              <w:ind w:left="2893"/>
              <w:spacing w:before="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11"/>
              </w:rPr>
              <w:t>决策公布阶段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重大行政决策文件，公布重大行政决策的政府公报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、政府网页、报纸等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58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25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7.2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63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重大行政决策解读文章，新闻发布会文稿、录音、录像等，接受访谈文稿、录音、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录像等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20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56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7072" w:type="dxa"/>
            <w:vAlign w:val="top"/>
          </w:tcPr>
          <w:p>
            <w:pPr>
              <w:ind w:left="1663"/>
              <w:spacing w:before="10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7"/>
              </w:rPr>
              <w:t>重大行政决策法定程序中形成的其他材料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重大行政决策法定程序中形成的录音、录像、光盘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9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7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重大行政决策法定程序中形成的照片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重大行政决策法定程序中形成的决定性、结论性的电子文件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8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4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8.4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9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重大行政决策法定程序中形成的非结论性、辅助性的电子文件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9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30年</w:t>
            </w:r>
          </w:p>
        </w:tc>
      </w:tr>
      <w:tr>
        <w:trPr>
          <w:trHeight w:val="389" w:hRule="atLeast"/>
        </w:trPr>
        <w:tc>
          <w:tcPr>
            <w:tcW w:w="824" w:type="dxa"/>
            <w:vAlign w:val="top"/>
          </w:tcPr>
          <w:p>
            <w:pPr>
              <w:ind w:left="354"/>
              <w:spacing w:before="158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9</w:t>
            </w:r>
          </w:p>
        </w:tc>
        <w:tc>
          <w:tcPr>
            <w:tcW w:w="7072" w:type="dxa"/>
            <w:vAlign w:val="top"/>
          </w:tcPr>
          <w:p>
            <w:pPr>
              <w:ind w:left="2813"/>
              <w:spacing w:before="1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9"/>
              </w:rPr>
              <w:t>执行与调整阶段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对决策执行情况进行督促检查的材料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决策执行单位决策执行情况报告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9.3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决策后评估材料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8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9.3.1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承担评估具体工作的单位形成的决策后评估报告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400" w:hRule="atLeast"/>
        </w:trPr>
        <w:tc>
          <w:tcPr>
            <w:tcW w:w="824" w:type="dxa"/>
            <w:vAlign w:val="top"/>
          </w:tcPr>
          <w:p>
            <w:pPr>
              <w:ind w:left="154"/>
              <w:spacing w:before="15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9.3.2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专业机构、社会组织形成的决策后评估报告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  <w:tr>
        <w:trPr>
          <w:trHeight w:val="394" w:hRule="atLeast"/>
        </w:trPr>
        <w:tc>
          <w:tcPr>
            <w:tcW w:w="824" w:type="dxa"/>
            <w:vAlign w:val="top"/>
          </w:tcPr>
          <w:p>
            <w:pPr>
              <w:ind w:left="254"/>
              <w:spacing w:before="159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9.4</w:t>
            </w:r>
          </w:p>
        </w:tc>
        <w:tc>
          <w:tcPr>
            <w:tcW w:w="7072" w:type="dxa"/>
            <w:vAlign w:val="top"/>
          </w:tcPr>
          <w:p>
            <w:pPr>
              <w:ind w:left="100"/>
              <w:spacing w:before="1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决策机关对决策予以调整的材料</w:t>
            </w:r>
          </w:p>
        </w:tc>
        <w:tc>
          <w:tcPr>
            <w:tcW w:w="864" w:type="dxa"/>
            <w:vAlign w:val="top"/>
          </w:tcPr>
          <w:p>
            <w:pPr>
              <w:ind w:left="228"/>
              <w:spacing w:before="10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永久</w:t>
            </w:r>
          </w:p>
        </w:tc>
      </w:tr>
    </w:tbl>
    <w:p>
      <w:pPr>
        <w:ind w:left="739" w:right="25" w:hanging="739"/>
        <w:spacing w:before="294" w:line="226" w:lineRule="auto"/>
        <w:rPr>
          <w:rFonts w:ascii="KaiTi" w:hAnsi="KaiTi" w:eastAsia="KaiTi" w:cs="KaiTi"/>
          <w:sz w:val="21"/>
          <w:szCs w:val="21"/>
        </w:rPr>
      </w:pPr>
      <w:r>
        <w:rPr>
          <w:rFonts w:ascii="KaiTi" w:hAnsi="KaiTi" w:eastAsia="KaiTi" w:cs="KaiTi"/>
          <w:sz w:val="21"/>
          <w:szCs w:val="21"/>
          <w:spacing w:val="-6"/>
        </w:rPr>
        <w:t>说明：1.决策机关根据重大行政决策工作实际，可将本表没有列入的其他与重大行政决策相关的文</w:t>
      </w:r>
      <w:r>
        <w:rPr>
          <w:rFonts w:ascii="KaiTi" w:hAnsi="KaiTi" w:eastAsia="KaiTi" w:cs="KaiTi"/>
          <w:sz w:val="21"/>
          <w:szCs w:val="21"/>
          <w:spacing w:val="2"/>
        </w:rPr>
        <w:t xml:space="preserve"> </w:t>
      </w:r>
      <w:r>
        <w:rPr>
          <w:rFonts w:ascii="KaiTi" w:hAnsi="KaiTi" w:eastAsia="KaiTi" w:cs="KaiTi"/>
          <w:sz w:val="21"/>
          <w:szCs w:val="21"/>
          <w:spacing w:val="-4"/>
        </w:rPr>
        <w:t>件材料予以归档保存。</w:t>
      </w:r>
    </w:p>
    <w:p>
      <w:pPr>
        <w:ind w:left="729" w:right="24" w:hanging="229"/>
        <w:spacing w:before="7" w:line="224" w:lineRule="auto"/>
        <w:rPr>
          <w:rFonts w:ascii="KaiTi" w:hAnsi="KaiTi" w:eastAsia="KaiTi" w:cs="KaiTi"/>
          <w:sz w:val="21"/>
          <w:szCs w:val="21"/>
        </w:rPr>
      </w:pPr>
      <w:r>
        <w:rPr>
          <w:rFonts w:ascii="KaiTi" w:hAnsi="KaiTi" w:eastAsia="KaiTi" w:cs="KaiTi"/>
          <w:sz w:val="21"/>
          <w:szCs w:val="21"/>
          <w:spacing w:val="-8"/>
        </w:rPr>
        <w:t>2.重大行政决策中形成的录音、录像、光盘、照片等特殊载体档案及电子档案，按照</w:t>
      </w:r>
      <w:r>
        <w:rPr>
          <w:rFonts w:ascii="KaiTi" w:hAnsi="KaiTi" w:eastAsia="KaiTi" w:cs="KaiTi"/>
          <w:sz w:val="21"/>
          <w:szCs w:val="21"/>
          <w:spacing w:val="-9"/>
        </w:rPr>
        <w:t>国家有关</w:t>
      </w:r>
      <w:r>
        <w:rPr>
          <w:rFonts w:ascii="KaiTi" w:hAnsi="KaiTi" w:eastAsia="KaiTi" w:cs="KaiTi"/>
          <w:sz w:val="21"/>
          <w:szCs w:val="21"/>
        </w:rPr>
        <w:t xml:space="preserve"> </w:t>
      </w:r>
      <w:r>
        <w:rPr>
          <w:rFonts w:ascii="KaiTi" w:hAnsi="KaiTi" w:eastAsia="KaiTi" w:cs="KaiTi"/>
          <w:sz w:val="21"/>
          <w:szCs w:val="21"/>
          <w:spacing w:val="-7"/>
        </w:rPr>
        <w:t>规定进行管理，归入单位相应类别档案中，与纸质重大行政</w:t>
      </w:r>
      <w:r>
        <w:rPr>
          <w:rFonts w:ascii="KaiTi" w:hAnsi="KaiTi" w:eastAsia="KaiTi" w:cs="KaiTi"/>
          <w:sz w:val="21"/>
          <w:szCs w:val="21"/>
          <w:spacing w:val="-8"/>
        </w:rPr>
        <w:t>决策档案案卷互标参见号。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269"/>
        <w:spacing w:before="84" w:line="184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0"/>
        </w:rPr>
        <w:t>—</w:t>
      </w:r>
      <w:r>
        <w:rPr>
          <w:rFonts w:ascii="SimSun" w:hAnsi="SimSun" w:eastAsia="SimSun" w:cs="SimSun"/>
          <w:sz w:val="26"/>
          <w:szCs w:val="26"/>
          <w:spacing w:val="-10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</w:rPr>
        <w:t>10—</w:t>
      </w:r>
    </w:p>
    <w:p>
      <w:pPr>
        <w:sectPr>
          <w:pgSz w:w="11920" w:h="16840"/>
          <w:pgMar w:top="1431" w:right="1534" w:bottom="400" w:left="1590" w:header="0" w:footer="0" w:gutter="0"/>
        </w:sectPr>
        <w:rPr/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1073161</wp:posOffset>
            </wp:positionH>
            <wp:positionV relativeFrom="page">
              <wp:posOffset>9061481</wp:posOffset>
            </wp:positionV>
            <wp:extent cx="5556246" cy="1261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6246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556247" cy="1272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56247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3" w:lineRule="exact"/>
        <w:rPr/>
      </w:pPr>
      <w:r/>
    </w:p>
    <w:p>
      <w:pPr>
        <w:sectPr>
          <w:pgSz w:w="11920" w:h="16840"/>
          <w:pgMar w:top="1431" w:right="1479" w:bottom="400" w:left="1680" w:header="0" w:footer="0" w:gutter="0"/>
          <w:cols w:equalWidth="0" w:num="1">
            <w:col w:w="8761" w:space="0"/>
          </w:cols>
        </w:sectPr>
        <w:rPr/>
      </w:pPr>
    </w:p>
    <w:p>
      <w:pPr>
        <w:ind w:left="210"/>
        <w:spacing w:before="78" w:line="184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2"/>
        </w:rPr>
        <w:t>浙</w:t>
      </w:r>
      <w:r>
        <w:rPr>
          <w:rFonts w:ascii="SimSun" w:hAnsi="SimSun" w:eastAsia="SimSun" w:cs="SimSun"/>
          <w:sz w:val="29"/>
          <w:szCs w:val="29"/>
          <w:spacing w:val="1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2"/>
        </w:rPr>
        <w:t>江</w:t>
      </w:r>
      <w:r>
        <w:rPr>
          <w:rFonts w:ascii="SimSun" w:hAnsi="SimSun" w:eastAsia="SimSun" w:cs="SimSun"/>
          <w:sz w:val="29"/>
          <w:szCs w:val="29"/>
          <w:spacing w:val="18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2"/>
        </w:rPr>
        <w:t>省</w:t>
      </w:r>
      <w:r>
        <w:rPr>
          <w:rFonts w:ascii="SimSun" w:hAnsi="SimSun" w:eastAsia="SimSun" w:cs="SimSun"/>
          <w:sz w:val="29"/>
          <w:szCs w:val="29"/>
          <w:spacing w:val="1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2"/>
        </w:rPr>
        <w:t>档</w:t>
      </w:r>
      <w:r>
        <w:rPr>
          <w:rFonts w:ascii="SimSun" w:hAnsi="SimSun" w:eastAsia="SimSun" w:cs="SimSun"/>
          <w:sz w:val="29"/>
          <w:szCs w:val="29"/>
          <w:spacing w:val="1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2"/>
        </w:rPr>
        <w:t>案</w:t>
      </w:r>
      <w:r>
        <w:rPr>
          <w:rFonts w:ascii="SimSun" w:hAnsi="SimSun" w:eastAsia="SimSun" w:cs="SimSun"/>
          <w:sz w:val="29"/>
          <w:szCs w:val="29"/>
          <w:spacing w:val="17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-12"/>
        </w:rPr>
        <w:t>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6" w:line="197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1"/>
        </w:rPr>
        <w:t>2020年12月31</w:t>
      </w:r>
      <w:r>
        <w:rPr>
          <w:rFonts w:ascii="SimSun" w:hAnsi="SimSun" w:eastAsia="SimSun" w:cs="SimSun"/>
          <w:sz w:val="29"/>
          <w:szCs w:val="29"/>
          <w:spacing w:val="-34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31"/>
        </w:rPr>
        <w:t>日印发</w:t>
      </w:r>
    </w:p>
    <w:sectPr>
      <w:type w:val="continuous"/>
      <w:pgSz w:w="11920" w:h="16840"/>
      <w:pgMar w:top="1431" w:right="1479" w:bottom="400" w:left="1680" w:header="0" w:footer="0" w:gutter="0"/>
      <w:cols w:equalWidth="0" w:num="2">
        <w:col w:w="5390" w:space="100"/>
        <w:col w:w="32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9"/>
      <w:spacing w:before="1" w:line="182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8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before="1" w:line="182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99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0"/>
      <w:spacing w:line="181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8"/>
      </w:rPr>
      <w:t>—</w:t>
    </w:r>
    <w:r>
      <w:rPr>
        <w:rFonts w:ascii="SimSun" w:hAnsi="SimSun" w:eastAsia="SimSun" w:cs="SimSun"/>
        <w:sz w:val="24"/>
        <w:szCs w:val="24"/>
        <w:spacing w:val="97"/>
      </w:rPr>
      <w:t xml:space="preserve"> </w:t>
    </w:r>
    <w:r>
      <w:rPr>
        <w:rFonts w:ascii="SimSun" w:hAnsi="SimSun" w:eastAsia="SimSun" w:cs="SimSun"/>
        <w:sz w:val="24"/>
        <w:szCs w:val="24"/>
        <w:spacing w:val="-8"/>
      </w:rPr>
      <w:t>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4"/>
      <w:spacing w:line="183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3"/>
      </w:rPr>
      <w:t>—8</w:t>
    </w:r>
    <w:r>
      <w:rPr>
        <w:rFonts w:ascii="SimSun" w:hAnsi="SimSun" w:eastAsia="SimSun" w:cs="SimSun"/>
        <w:sz w:val="24"/>
        <w:szCs w:val="24"/>
        <w:spacing w:val="29"/>
      </w:rPr>
      <w:t xml:space="preserve">   </w:t>
    </w:r>
    <w:r>
      <w:rPr>
        <w:rFonts w:ascii="SimSun" w:hAnsi="SimSun" w:eastAsia="SimSun" w:cs="SimSun"/>
        <w:sz w:val="24"/>
        <w:szCs w:val="24"/>
        <w:spacing w:val="-3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2023-01-29T16:18:38Z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2023-01-29T16:18:39</vt:filetime>
  </property>
  <property fmtid="{D5CDD505-2E9C-101B-9397-08002B2CF9AE}" pid="4" name="UsrData">
    <vt:lpwstr>63d62bd3e817070015e8ae46</vt:lpwstr>
  </property>
</Properties>
</file>