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val="0"/>
        <w:spacing w:line="560" w:lineRule="exact"/>
        <w:jc w:val="center"/>
        <w:textAlignment w:val="auto"/>
        <w:rPr>
          <w:rFonts w:ascii="方正小标宋简体" w:hAnsi="黑体" w:eastAsia="方正小标宋简体" w:cs="微软雅黑"/>
          <w:bCs/>
          <w:sz w:val="44"/>
          <w:szCs w:val="44"/>
          <w:shd w:val="clear" w:color="auto" w:fill="FFFFFF"/>
        </w:rPr>
      </w:pPr>
      <w:r>
        <w:rPr>
          <w:rFonts w:hint="eastAsia" w:ascii="方正小标宋简体" w:hAnsi="黑体" w:eastAsia="方正小标宋简体" w:cs="微软雅黑"/>
          <w:bCs/>
          <w:sz w:val="44"/>
          <w:szCs w:val="44"/>
          <w:shd w:val="clear" w:color="auto" w:fill="FFFFFF"/>
        </w:rPr>
        <w:t>松阳县城区及松古平原供水一体化非居民用水超定额累进加价制度实施意见</w:t>
      </w:r>
    </w:p>
    <w:p>
      <w:pPr>
        <w:keepNext w:val="0"/>
        <w:keepLines w:val="0"/>
        <w:pageBreakBefore w:val="0"/>
        <w:kinsoku/>
        <w:overflowPunct/>
        <w:topLinePunct w:val="0"/>
        <w:autoSpaceDE w:val="0"/>
        <w:autoSpaceDN w:val="0"/>
        <w:bidi w:val="0"/>
        <w:adjustRightInd w:val="0"/>
        <w:spacing w:line="560" w:lineRule="exact"/>
        <w:jc w:val="both"/>
        <w:textAlignment w:val="auto"/>
        <w:rPr>
          <w:rFonts w:ascii="仿宋_GB2312" w:hAnsi="宋体" w:cs="宋体"/>
          <w:sz w:val="18"/>
          <w:szCs w:val="18"/>
          <w:shd w:val="clear" w:color="auto" w:fill="FFFFFF"/>
        </w:rPr>
      </w:pP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为进一步促进城镇节约用水，发挥价格杠杆的调节作用和用水定额的引导作用，根据《浙江省物价局 浙江省住房城乡建设厅转发&lt;国家发展改革委 住房城乡建设部关于加快建立健全城镇非居民用水超定额累进加价制度的指导意见&gt;的通知》（浙价资〔2018〕104号）精神，结合松阳县实际，提出以下实施意见：</w:t>
      </w:r>
    </w:p>
    <w:p>
      <w:pPr>
        <w:keepNext w:val="0"/>
        <w:keepLines w:val="0"/>
        <w:pageBreakBefore w:val="0"/>
        <w:widowControl/>
        <w:kinsoku/>
        <w:overflowPunct/>
        <w:topLinePunct w:val="0"/>
        <w:bidi w:val="0"/>
        <w:spacing w:line="560" w:lineRule="exact"/>
        <w:ind w:firstLine="640" w:firstLineChars="200"/>
        <w:jc w:val="left"/>
        <w:textAlignment w:val="auto"/>
        <w:rPr>
          <w:rFonts w:ascii="黑体" w:hAnsi="黑体" w:eastAsia="黑体" w:cs="宋体"/>
          <w:bCs/>
          <w:color w:val="0F0020"/>
          <w:kern w:val="0"/>
          <w:szCs w:val="32"/>
        </w:rPr>
      </w:pPr>
      <w:r>
        <w:rPr>
          <w:rFonts w:hint="eastAsia" w:ascii="黑体" w:hAnsi="黑体" w:eastAsia="黑体" w:cs="宋体"/>
          <w:bCs/>
          <w:color w:val="0F0020"/>
          <w:kern w:val="0"/>
          <w:szCs w:val="32"/>
        </w:rPr>
        <w:t>一、实施范围</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城区及松古平原供水一体化非居民用水超定额累进加价实施范围为城区及松古平原供水一体化公共供水管网供水的非居民用水户。</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黑体" w:hAnsi="黑体" w:eastAsia="黑体" w:cs="宋体"/>
          <w:bCs/>
          <w:color w:val="0F0020"/>
          <w:kern w:val="0"/>
          <w:szCs w:val="32"/>
        </w:rPr>
      </w:pPr>
      <w:r>
        <w:rPr>
          <w:rFonts w:hint="eastAsia" w:ascii="黑体" w:hAnsi="黑体" w:eastAsia="黑体" w:cs="宋体"/>
          <w:bCs/>
          <w:color w:val="0F0020"/>
          <w:kern w:val="0"/>
          <w:szCs w:val="32"/>
        </w:rPr>
        <w:t>二、用水定额</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按照浙江省水利厅、浙江省经济和信息化委员会、浙江省住房和城乡建设厅、浙江省市场监督管理局联合印发的《浙江省用（取）水定额（2019年）》标准执行。省取水定额标准有新规定的，按新规定执行。</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城市供水主管部门会同有关部门根据省取水定额标准，每年对用水户年用水量进行核定。因用水户投资、产值等发生较大变化的，可以对年用水量进行重新核定。</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黑体" w:hAnsi="黑体" w:eastAsia="黑体" w:cs="宋体"/>
          <w:bCs/>
          <w:color w:val="0F0020"/>
          <w:kern w:val="0"/>
          <w:szCs w:val="32"/>
        </w:rPr>
      </w:pPr>
      <w:r>
        <w:rPr>
          <w:rFonts w:hint="eastAsia" w:ascii="黑体" w:hAnsi="黑体" w:eastAsia="黑体" w:cs="宋体"/>
          <w:bCs/>
          <w:color w:val="0F0020"/>
          <w:kern w:val="0"/>
          <w:szCs w:val="32"/>
        </w:rPr>
        <w:t>三、超定额加价管理</w:t>
      </w:r>
    </w:p>
    <w:p>
      <w:pPr>
        <w:keepNext w:val="0"/>
        <w:keepLines w:val="0"/>
        <w:pageBreakBefore w:val="0"/>
        <w:widowControl/>
        <w:kinsoku/>
        <w:overflowPunct/>
        <w:topLinePunct w:val="0"/>
        <w:bidi w:val="0"/>
        <w:spacing w:line="560" w:lineRule="exact"/>
        <w:ind w:firstLine="643" w:firstLineChars="200"/>
        <w:jc w:val="left"/>
        <w:textAlignment w:val="auto"/>
        <w:rPr>
          <w:rFonts w:ascii="楷体_GB2312" w:hAnsi="微软雅黑" w:eastAsia="楷体_GB2312" w:cs="宋体"/>
          <w:b/>
          <w:bCs/>
          <w:kern w:val="0"/>
          <w:szCs w:val="32"/>
        </w:rPr>
      </w:pPr>
      <w:r>
        <w:rPr>
          <w:rFonts w:hint="eastAsia" w:ascii="楷体_GB2312" w:hAnsi="微软雅黑" w:eastAsia="楷体_GB2312" w:cs="宋体"/>
          <w:b/>
          <w:bCs/>
          <w:kern w:val="0"/>
          <w:szCs w:val="32"/>
        </w:rPr>
        <w:t>（一）分档水量和加价标准</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第一档：年用水量在核定的额度以内的，执行现行供水价格标准；</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第二档：年用水量超过核定额度30%（含）以下的，超过部分按现行供水价格的基础上加价0.5倍缴纳；</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第三档：年用水量超过核定额度30%以上的，超过部分按现行供水价格的基础上加价1倍缴纳。</w:t>
      </w:r>
    </w:p>
    <w:p>
      <w:pPr>
        <w:pStyle w:val="5"/>
        <w:keepNext w:val="0"/>
        <w:keepLines w:val="0"/>
        <w:pageBreakBefore w:val="0"/>
        <w:widowControl w:val="0"/>
        <w:kinsoku/>
        <w:overflowPunct/>
        <w:topLinePunct w:val="0"/>
        <w:bidi w:val="0"/>
        <w:spacing w:before="0" w:beforeAutospacing="0" w:after="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“两高一剩”（高耗能、高污染、产能严重过剩）等行业实行用水定额管理的企业，第二档和第三档分别加价0.6倍和1.2倍缴纳自来水费。</w:t>
      </w:r>
    </w:p>
    <w:p>
      <w:pPr>
        <w:keepNext w:val="0"/>
        <w:keepLines w:val="0"/>
        <w:pageBreakBefore w:val="0"/>
        <w:widowControl/>
        <w:kinsoku/>
        <w:overflowPunct/>
        <w:topLinePunct w:val="0"/>
        <w:bidi w:val="0"/>
        <w:spacing w:line="560" w:lineRule="exact"/>
        <w:ind w:firstLine="643" w:firstLineChars="200"/>
        <w:jc w:val="left"/>
        <w:textAlignment w:val="auto"/>
        <w:rPr>
          <w:rFonts w:ascii="仿宋_GB2312" w:hAnsi="微软雅黑" w:cs="宋体"/>
          <w:b/>
          <w:bCs/>
          <w:kern w:val="0"/>
          <w:szCs w:val="32"/>
        </w:rPr>
      </w:pPr>
      <w:r>
        <w:rPr>
          <w:rFonts w:hint="eastAsia" w:ascii="楷体_GB2312" w:hAnsi="微软雅黑" w:eastAsia="楷体_GB2312" w:cs="宋体"/>
          <w:b/>
          <w:bCs/>
          <w:kern w:val="0"/>
          <w:szCs w:val="32"/>
        </w:rPr>
        <w:t>（二）加价项目</w:t>
      </w:r>
    </w:p>
    <w:p>
      <w:pPr>
        <w:keepNext w:val="0"/>
        <w:keepLines w:val="0"/>
        <w:pageBreakBefore w:val="0"/>
        <w:widowControl/>
        <w:kinsoku/>
        <w:overflowPunct/>
        <w:topLinePunct w:val="0"/>
        <w:bidi w:val="0"/>
        <w:spacing w:line="560" w:lineRule="exact"/>
        <w:ind w:firstLine="640" w:firstLineChars="200"/>
        <w:jc w:val="left"/>
        <w:textAlignment w:val="auto"/>
        <w:rPr>
          <w:rFonts w:ascii="仿宋_GB2312" w:hAnsi="微软雅黑" w:cs="宋体"/>
          <w:kern w:val="0"/>
          <w:szCs w:val="32"/>
        </w:rPr>
      </w:pPr>
      <w:r>
        <w:rPr>
          <w:rFonts w:hint="eastAsia" w:ascii="仿宋_GB2312" w:hAnsi="宋体" w:eastAsia="仿宋_GB2312" w:cs="宋体"/>
          <w:color w:val="000000"/>
          <w:kern w:val="0"/>
          <w:sz w:val="32"/>
          <w:szCs w:val="32"/>
          <w:lang w:val="en-US" w:eastAsia="zh-CN" w:bidi="ar-SA"/>
        </w:rPr>
        <w:t>非居民用水超定额累进加价为公共供水基本水价加价，不包含水资源费、污水处理费等附加费用。</w:t>
      </w:r>
    </w:p>
    <w:p>
      <w:pPr>
        <w:keepNext w:val="0"/>
        <w:keepLines w:val="0"/>
        <w:pageBreakBefore w:val="0"/>
        <w:widowControl/>
        <w:kinsoku/>
        <w:overflowPunct/>
        <w:topLinePunct w:val="0"/>
        <w:bidi w:val="0"/>
        <w:spacing w:line="560" w:lineRule="exact"/>
        <w:ind w:firstLine="645"/>
        <w:jc w:val="left"/>
        <w:textAlignment w:val="auto"/>
        <w:rPr>
          <w:rFonts w:ascii="仿宋_GB2312" w:hAnsi="微软雅黑" w:cs="宋体"/>
          <w:b/>
          <w:bCs/>
          <w:kern w:val="0"/>
          <w:szCs w:val="32"/>
        </w:rPr>
      </w:pPr>
      <w:r>
        <w:rPr>
          <w:rFonts w:hint="eastAsia" w:ascii="楷体_GB2312" w:hAnsi="微软雅黑" w:eastAsia="楷体_GB2312" w:cs="宋体"/>
          <w:b/>
          <w:bCs/>
          <w:kern w:val="0"/>
          <w:szCs w:val="32"/>
        </w:rPr>
        <w:t>（三）计费周期</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非居民用水超定额累进加价计费以年度作为一个计量缴费周期。一个周期结束后，对超定额水量部分按照加价标准收取加价费用。</w:t>
      </w:r>
    </w:p>
    <w:p>
      <w:pPr>
        <w:keepNext w:val="0"/>
        <w:keepLines w:val="0"/>
        <w:pageBreakBefore w:val="0"/>
        <w:widowControl/>
        <w:kinsoku/>
        <w:overflowPunct/>
        <w:topLinePunct w:val="0"/>
        <w:bidi w:val="0"/>
        <w:spacing w:line="560" w:lineRule="exact"/>
        <w:ind w:firstLine="645"/>
        <w:jc w:val="left"/>
        <w:textAlignment w:val="auto"/>
        <w:rPr>
          <w:rFonts w:ascii="楷体_GB2312" w:hAnsi="微软雅黑" w:eastAsia="楷体_GB2312" w:cs="宋体"/>
          <w:b/>
          <w:bCs/>
          <w:kern w:val="0"/>
          <w:szCs w:val="32"/>
        </w:rPr>
      </w:pPr>
      <w:r>
        <w:rPr>
          <w:rFonts w:hint="eastAsia" w:ascii="楷体_GB2312" w:hAnsi="微软雅黑" w:eastAsia="楷体_GB2312" w:cs="宋体"/>
          <w:b/>
          <w:bCs/>
          <w:kern w:val="0"/>
          <w:szCs w:val="32"/>
        </w:rPr>
        <w:t>（四）加价水费缴纳</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供水企业按照供水主管部门对用水户核定的用水额度，对用水户按规定标准收取超定额用水累进加价水费。</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黑体" w:hAnsi="黑体" w:eastAsia="黑体" w:cs="宋体"/>
          <w:bCs/>
          <w:color w:val="0F0020"/>
          <w:kern w:val="0"/>
          <w:szCs w:val="32"/>
        </w:rPr>
      </w:pPr>
      <w:r>
        <w:rPr>
          <w:rFonts w:hint="eastAsia" w:ascii="黑体" w:hAnsi="黑体" w:eastAsia="黑体" w:cs="宋体"/>
          <w:bCs/>
          <w:color w:val="0F0020"/>
          <w:kern w:val="0"/>
          <w:szCs w:val="32"/>
        </w:rPr>
        <w:t>四、资金用途</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实行超定额用水累进加价形成的收入“取之于水，用之于水”，用于管网及户表改造、完善计量设施和水质提升等；也可提取一定的比例，用于对节水成效突出的企业进行奖励，用于节水技术改造、节水技术工艺推广等。资金征收和使用具体管理办法由相关部门另行制定。</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城区及松古平原供水一体化范围内自备水源用户取水，按照《浙江省取水许可和水资源费征收管理办法》(浙江省人民政府2017年第352号令)的有关规定超额累进加价征收水资源费。</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黑体" w:hAnsi="黑体" w:eastAsia="黑体" w:cs="宋体"/>
          <w:bCs/>
          <w:color w:val="0F0020"/>
          <w:kern w:val="0"/>
          <w:szCs w:val="32"/>
        </w:rPr>
      </w:pPr>
      <w:r>
        <w:rPr>
          <w:rFonts w:hint="eastAsia" w:ascii="黑体" w:hAnsi="黑体" w:eastAsia="黑体" w:cs="宋体"/>
          <w:bCs/>
          <w:color w:val="0F0020"/>
          <w:kern w:val="0"/>
          <w:szCs w:val="32"/>
        </w:rPr>
        <w:t>五、部门职责</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县发改局负责城区及松古平原供水一体化分档水量划分和加价标准制定，提供“高耗能”企业名单等工作；</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县住建局负责城区及松古平原供水一体化非居民超定额用水的核定、调整，加价水费征收和使用管理等工作；</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县经商局负责提供“产能严重过剩”企业名单等工作；</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市生态环境局松阳分局负责提供“涉水重点排污单位”企业名单等工作；</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县水利局等部门配合县住建局做好用水定额管理工作；</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供水企业负责用水计量数据的提供和超定额用水累进加价水费收取工作。</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黑体" w:hAnsi="黑体" w:eastAsia="黑体" w:cs="宋体"/>
          <w:bCs/>
          <w:color w:val="0F0020"/>
          <w:kern w:val="0"/>
          <w:szCs w:val="32"/>
        </w:rPr>
      </w:pPr>
      <w:r>
        <w:rPr>
          <w:rFonts w:hint="eastAsia" w:ascii="黑体" w:hAnsi="黑体" w:eastAsia="黑体" w:cs="宋体"/>
          <w:bCs/>
          <w:color w:val="0F0020"/>
          <w:kern w:val="0"/>
          <w:szCs w:val="32"/>
        </w:rPr>
        <w:t>六、实施步骤</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城区及松古平原供水一体化非居民用水超定额累进加价制度要统筹谋划，分步实施。结合城区及松古平原供水一体化用水结构和经济发展实际，按照“先易后难”的原则，率先对条件较为成熟的重点行业和用水大户实行超定额累进加价，不断积累经验，有序推行。</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现阶段不具备实行用水定额管理的非居民用水户，继续实行计划用水管理，超计划用水累进加价水费征收按照松阳县发展和改革局《关于松阳县城区及松古平原供水一体化居民生活用水价格改革的通知》（松发改价〔2015〕313号)执行。</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黑体" w:hAnsi="黑体" w:eastAsia="黑体" w:cs="宋体"/>
          <w:bCs/>
          <w:color w:val="0F0020"/>
          <w:kern w:val="0"/>
          <w:szCs w:val="32"/>
        </w:rPr>
      </w:pPr>
      <w:r>
        <w:rPr>
          <w:rFonts w:hint="eastAsia" w:ascii="黑体" w:hAnsi="黑体" w:eastAsia="黑体" w:cs="宋体"/>
          <w:bCs/>
          <w:color w:val="0F0020"/>
          <w:kern w:val="0"/>
          <w:szCs w:val="32"/>
        </w:rPr>
        <w:t>七、实施时间</w:t>
      </w:r>
    </w:p>
    <w:p>
      <w:pPr>
        <w:keepNext w:val="0"/>
        <w:keepLines w:val="0"/>
        <w:pageBreakBefore w:val="0"/>
        <w:widowControl/>
        <w:kinsoku/>
        <w:overflowPunct/>
        <w:topLinePunct w:val="0"/>
        <w:bidi w:val="0"/>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自2021年11月1日起执行。</w:t>
      </w:r>
    </w:p>
    <w:p>
      <w:pPr>
        <w:keepNext w:val="0"/>
        <w:keepLines w:val="0"/>
        <w:pageBreakBefore w:val="0"/>
        <w:kinsoku/>
        <w:overflowPunct/>
        <w:topLinePunct w:val="0"/>
        <w:bidi w:val="0"/>
        <w:spacing w:line="560" w:lineRule="exact"/>
        <w:jc w:val="center"/>
        <w:textAlignment w:val="auto"/>
        <w:rPr>
          <w:rFonts w:ascii="仿宋_GB2312"/>
          <w:szCs w:val="32"/>
        </w:rPr>
      </w:pPr>
    </w:p>
    <w:p>
      <w:pPr>
        <w:keepNext w:val="0"/>
        <w:keepLines w:val="0"/>
        <w:pageBreakBefore w:val="0"/>
        <w:tabs>
          <w:tab w:val="left" w:pos="3720"/>
        </w:tabs>
        <w:kinsoku/>
        <w:wordWrap w:val="0"/>
        <w:overflowPunct/>
        <w:topLinePunct w:val="0"/>
        <w:bidi w:val="0"/>
        <w:spacing w:line="560" w:lineRule="exact"/>
        <w:ind w:firstLine="600" w:firstLineChars="200"/>
        <w:jc w:val="right"/>
        <w:textAlignment w:val="auto"/>
        <w:rPr>
          <w:rFonts w:hint="default" w:ascii="仿宋" w:hAnsi="仿宋" w:eastAsia="仿宋"/>
          <w:sz w:val="30"/>
          <w:szCs w:val="30"/>
          <w:lang w:val="en-US" w:eastAsia="zh-CN"/>
        </w:rPr>
      </w:pPr>
      <w:r>
        <w:rPr>
          <w:rFonts w:ascii="仿宋" w:hAnsi="仿宋" w:eastAsia="仿宋"/>
          <w:sz w:val="30"/>
          <w:szCs w:val="30"/>
        </w:rPr>
        <w:tab/>
      </w:r>
      <w:r>
        <w:rPr>
          <w:rFonts w:hint="eastAsia" w:ascii="仿宋" w:hAnsi="仿宋" w:eastAsia="仿宋"/>
          <w:sz w:val="30"/>
          <w:szCs w:val="30"/>
        </w:rPr>
        <w:t>松阳县发展和改革局</w:t>
      </w:r>
      <w:r>
        <w:rPr>
          <w:rFonts w:hint="eastAsia" w:ascii="仿宋" w:hAnsi="仿宋" w:eastAsia="仿宋"/>
          <w:sz w:val="30"/>
          <w:szCs w:val="30"/>
          <w:lang w:val="en-US" w:eastAsia="zh-CN"/>
        </w:rPr>
        <w:t xml:space="preserve">  </w:t>
      </w:r>
    </w:p>
    <w:p>
      <w:pPr>
        <w:keepNext w:val="0"/>
        <w:keepLines w:val="0"/>
        <w:pageBreakBefore w:val="0"/>
        <w:kinsoku/>
        <w:overflowPunct/>
        <w:topLinePunct w:val="0"/>
        <w:bidi w:val="0"/>
        <w:spacing w:line="560" w:lineRule="exact"/>
        <w:jc w:val="right"/>
        <w:textAlignment w:val="auto"/>
        <w:rPr>
          <w:rFonts w:ascii="仿宋" w:hAnsi="仿宋" w:eastAsia="仿宋"/>
          <w:sz w:val="30"/>
          <w:szCs w:val="30"/>
        </w:rPr>
      </w:pPr>
      <w:r>
        <w:rPr>
          <w:rFonts w:hint="eastAsia" w:ascii="仿宋" w:hAnsi="仿宋" w:eastAsia="仿宋"/>
          <w:sz w:val="30"/>
          <w:szCs w:val="30"/>
        </w:rPr>
        <w:t>松阳县</w:t>
      </w:r>
      <w:bookmarkStart w:id="0" w:name="_GoBack"/>
      <w:bookmarkEnd w:id="0"/>
      <w:r>
        <w:rPr>
          <w:rFonts w:hint="eastAsia" w:ascii="仿宋" w:hAnsi="仿宋" w:eastAsia="仿宋"/>
          <w:sz w:val="30"/>
          <w:szCs w:val="30"/>
        </w:rPr>
        <w:t>住房和</w:t>
      </w:r>
      <w:r>
        <w:rPr>
          <w:rFonts w:hint="eastAsia" w:ascii="仿宋" w:hAnsi="仿宋" w:eastAsia="仿宋"/>
          <w:sz w:val="30"/>
          <w:szCs w:val="30"/>
          <w:lang w:eastAsia="zh-CN"/>
        </w:rPr>
        <w:t>城乡</w:t>
      </w:r>
      <w:r>
        <w:rPr>
          <w:rFonts w:hint="eastAsia" w:ascii="仿宋" w:hAnsi="仿宋" w:eastAsia="仿宋"/>
          <w:sz w:val="30"/>
          <w:szCs w:val="30"/>
        </w:rPr>
        <w:t>建设局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EB"/>
    <w:rsid w:val="004F1E0B"/>
    <w:rsid w:val="005E15CA"/>
    <w:rsid w:val="008616F7"/>
    <w:rsid w:val="008678AC"/>
    <w:rsid w:val="00880F34"/>
    <w:rsid w:val="00A579EC"/>
    <w:rsid w:val="00A66D47"/>
    <w:rsid w:val="00B104DB"/>
    <w:rsid w:val="00B26E8F"/>
    <w:rsid w:val="00B863DD"/>
    <w:rsid w:val="00DB28EB"/>
    <w:rsid w:val="00ED47D4"/>
    <w:rsid w:val="00F50972"/>
    <w:rsid w:val="020136D1"/>
    <w:rsid w:val="026E4A9D"/>
    <w:rsid w:val="04C12426"/>
    <w:rsid w:val="28EB28FB"/>
    <w:rsid w:val="2CF4072D"/>
    <w:rsid w:val="3A050F4F"/>
    <w:rsid w:val="3C44650F"/>
    <w:rsid w:val="41FB2EAC"/>
    <w:rsid w:val="43146067"/>
    <w:rsid w:val="44656F50"/>
    <w:rsid w:val="50590C87"/>
    <w:rsid w:val="739E1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8">
    <w:name w:val="Strong"/>
    <w:qFormat/>
    <w:uiPriority w:val="0"/>
    <w:rPr>
      <w:b/>
      <w:bCs/>
    </w:rPr>
  </w:style>
  <w:style w:type="character" w:customStyle="1" w:styleId="9">
    <w:name w:val="页眉 Char"/>
    <w:basedOn w:val="7"/>
    <w:link w:val="4"/>
    <w:qFormat/>
    <w:uiPriority w:val="99"/>
    <w:rPr>
      <w:rFonts w:ascii="Times New Roman" w:hAnsi="Times New Roman" w:eastAsia="仿宋_GB2312" w:cs="Times New Roman"/>
      <w:sz w:val="18"/>
      <w:szCs w:val="18"/>
    </w:rPr>
  </w:style>
  <w:style w:type="character" w:customStyle="1" w:styleId="10">
    <w:name w:val="页脚 Char"/>
    <w:basedOn w:val="7"/>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287</Words>
  <Characters>1637</Characters>
  <Lines>13</Lines>
  <Paragraphs>3</Paragraphs>
  <TotalTime>2</TotalTime>
  <ScaleCrop>false</ScaleCrop>
  <LinksUpToDate>false</LinksUpToDate>
  <CharactersWithSpaces>1921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2021-04-21T01:45:00Z</dcterms:created>
  <dc:creator>sys</dc:creator>
  <cp:lastModifiedBy>Administrator</cp:lastModifiedBy>
  <dcterms:modified xsi:type="dcterms:W3CDTF">2022-06-28T06:55:05Z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