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松阳县疾病预防控制中心</w:t>
      </w:r>
      <w:r>
        <w:rPr>
          <w:rFonts w:hint="eastAsia" w:ascii="方正小标宋简体" w:hAnsi="方正小标宋简体" w:eastAsia="方正小标宋简体" w:cs="方正小标宋简体"/>
          <w:bCs/>
          <w:spacing w:val="15"/>
          <w:sz w:val="44"/>
          <w:szCs w:val="44"/>
          <w:highlight w:val="none"/>
          <w:lang w:eastAsia="zh-CN"/>
        </w:rPr>
        <w:br w:type="textWrapping"/>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bidi w:val="0"/>
        <w:spacing w:beforeLines="0" w:afterLines="0" w:line="560" w:lineRule="exact"/>
        <w:jc w:val="both"/>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3520" w:firstLineChars="1100"/>
        <w:jc w:val="both"/>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auto"/>
          <w:sz w:val="32"/>
          <w:szCs w:val="32"/>
          <w:highlight w:val="none"/>
          <w:lang w:eastAsia="zh-CN"/>
        </w:rPr>
      </w:pPr>
      <w:r>
        <w:rPr>
          <w:rStyle w:val="8"/>
          <w:rFonts w:hint="eastAsia" w:ascii="黑体" w:eastAsia="黑体"/>
          <w:b w:val="0"/>
          <w:color w:val="auto"/>
          <w:sz w:val="32"/>
          <w:szCs w:val="32"/>
          <w:highlight w:val="none"/>
          <w:lang w:eastAsia="zh-CN"/>
        </w:rPr>
        <w:t>二、</w:t>
      </w:r>
      <w:r>
        <w:rPr>
          <w:rStyle w:val="8"/>
          <w:rFonts w:hint="eastAsia" w:ascii="黑体" w:eastAsia="黑体"/>
          <w:b w:val="0"/>
          <w:color w:val="auto"/>
          <w:sz w:val="32"/>
          <w:szCs w:val="32"/>
          <w:highlight w:val="none"/>
          <w:lang w:val="en-US" w:eastAsia="zh-CN"/>
        </w:rPr>
        <w:t>2023</w:t>
      </w:r>
      <w:r>
        <w:rPr>
          <w:rStyle w:val="8"/>
          <w:rFonts w:hint="eastAsia" w:ascii="黑体" w:eastAsia="黑体"/>
          <w:b w:val="0"/>
          <w:color w:val="auto"/>
          <w:sz w:val="32"/>
          <w:szCs w:val="32"/>
          <w:highlight w:val="none"/>
        </w:rPr>
        <w:t>年</w:t>
      </w:r>
      <w:r>
        <w:rPr>
          <w:rStyle w:val="8"/>
          <w:rFonts w:hint="eastAsia" w:ascii="黑体" w:eastAsia="黑体"/>
          <w:b w:val="0"/>
          <w:color w:val="auto"/>
          <w:sz w:val="32"/>
          <w:szCs w:val="32"/>
          <w:highlight w:val="none"/>
          <w:lang w:eastAsia="zh-CN"/>
        </w:rPr>
        <w:t>松阳县疾病预防控制中心单位</w:t>
      </w:r>
      <w:r>
        <w:rPr>
          <w:rStyle w:val="8"/>
          <w:rFonts w:hint="eastAsia" w:ascii="黑体" w:eastAsia="黑体"/>
          <w:b w:val="0"/>
          <w:color w:val="auto"/>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val="en-US" w:eastAsia="zh-CN"/>
        </w:rPr>
        <w:t>（二）</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年收入预算</w:t>
      </w:r>
      <w:r>
        <w:rPr>
          <w:rFonts w:hint="eastAsia" w:ascii="楷体_GB2312" w:hAnsi="楷体_GB2312" w:eastAsia="楷体_GB2312" w:cs="楷体_GB2312"/>
          <w:b w:val="0"/>
          <w:bCs/>
          <w:color w:val="auto"/>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三</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年支出预算</w:t>
      </w:r>
      <w:r>
        <w:rPr>
          <w:rFonts w:hint="eastAsia" w:ascii="楷体_GB2312" w:hAnsi="楷体_GB2312" w:eastAsia="楷体_GB2312" w:cs="楷体_GB2312"/>
          <w:b w:val="0"/>
          <w:bCs/>
          <w:color w:val="auto"/>
          <w:sz w:val="32"/>
          <w:szCs w:val="32"/>
          <w:highlight w:val="none"/>
          <w:lang w:eastAsia="zh-CN"/>
        </w:rPr>
        <w:t>情况说明</w:t>
      </w:r>
      <w:r>
        <w:rPr>
          <w:rFonts w:hint="eastAsia" w:ascii="楷体_GB2312" w:hAnsi="楷体_GB2312" w:eastAsia="楷体_GB2312" w:cs="楷体_GB2312"/>
          <w:b w:val="0"/>
          <w:bCs/>
          <w:color w:val="auto"/>
          <w:sz w:val="32"/>
          <w:szCs w:val="32"/>
          <w:highlight w:val="none"/>
        </w:rPr>
        <w:br w:type="textWrapping"/>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四</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年财政拨款</w:t>
      </w:r>
      <w:r>
        <w:rPr>
          <w:rFonts w:hint="eastAsia" w:ascii="楷体_GB2312" w:hAnsi="楷体_GB2312" w:eastAsia="楷体_GB2312" w:cs="楷体_GB2312"/>
          <w:b w:val="0"/>
          <w:bCs/>
          <w:color w:val="auto"/>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（五）关于疾控中心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val="en-US" w:eastAsia="zh-CN"/>
        </w:rPr>
        <w:t>（六）</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（七）关于疾控中心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（八）关疾控中心于</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val="en-US" w:eastAsia="zh-CN"/>
        </w:rPr>
        <w:t>国有资本经营预算</w:t>
      </w:r>
      <w:r>
        <w:rPr>
          <w:rFonts w:hint="eastAsia" w:ascii="楷体_GB2312" w:hAnsi="楷体_GB2312" w:eastAsia="楷体_GB2312" w:cs="楷体_GB2312"/>
          <w:b w:val="0"/>
          <w:bCs/>
          <w:color w:val="auto"/>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（九）关于疾控中心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w:t>
      </w:r>
      <w:r>
        <w:rPr>
          <w:rFonts w:hint="eastAsia" w:ascii="楷体_GB2312" w:hAnsi="楷体_GB2312" w:eastAsia="楷体_GB2312" w:cs="楷体_GB2312"/>
          <w:b w:val="0"/>
          <w:bCs/>
          <w:color w:val="auto"/>
          <w:sz w:val="32"/>
          <w:szCs w:val="32"/>
          <w:highlight w:val="none"/>
        </w:rPr>
        <w:t>“三公”经费预算情况</w:t>
      </w:r>
      <w:r>
        <w:rPr>
          <w:rFonts w:hint="eastAsia" w:ascii="楷体_GB2312" w:hAnsi="楷体_GB2312" w:eastAsia="楷体_GB2312" w:cs="楷体_GB2312"/>
          <w:b w:val="0"/>
          <w:bCs/>
          <w:color w:val="auto"/>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十</w:t>
      </w:r>
      <w:r>
        <w:rPr>
          <w:rFonts w:hint="eastAsia" w:ascii="楷体_GB2312" w:hAnsi="楷体_GB2312" w:eastAsia="楷体_GB2312" w:cs="楷体_GB2312"/>
          <w:b w:val="0"/>
          <w:bCs/>
          <w:color w:val="auto"/>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auto"/>
          <w:kern w:val="2"/>
          <w:sz w:val="32"/>
          <w:szCs w:val="32"/>
          <w:highlight w:val="none"/>
          <w:lang w:val="en-US" w:eastAsia="zh-CN" w:bidi="ar-SA"/>
        </w:rPr>
      </w:pPr>
      <w:r>
        <w:rPr>
          <w:rStyle w:val="8"/>
          <w:rFonts w:hint="eastAsia" w:ascii="黑体" w:hAnsi="Calibri" w:eastAsia="黑体" w:cs="Times New Roman"/>
          <w:b w:val="0"/>
          <w:color w:val="auto"/>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auto"/>
          <w:sz w:val="32"/>
          <w:szCs w:val="32"/>
          <w:highlight w:val="none"/>
          <w:lang w:eastAsia="zh-CN"/>
        </w:rPr>
      </w:pPr>
      <w:r>
        <w:rPr>
          <w:rStyle w:val="8"/>
          <w:rFonts w:hint="eastAsia" w:ascii="黑体" w:eastAsia="黑体"/>
          <w:b w:val="0"/>
          <w:color w:val="auto"/>
          <w:sz w:val="32"/>
          <w:szCs w:val="32"/>
          <w:highlight w:val="none"/>
          <w:lang w:eastAsia="zh-CN"/>
        </w:rPr>
        <w:t>四、</w:t>
      </w:r>
      <w:r>
        <w:rPr>
          <w:rStyle w:val="8"/>
          <w:rFonts w:hint="eastAsia" w:ascii="黑体" w:eastAsia="黑体"/>
          <w:b w:val="0"/>
          <w:color w:val="auto"/>
          <w:sz w:val="32"/>
          <w:szCs w:val="32"/>
          <w:highlight w:val="none"/>
          <w:lang w:val="en-US" w:eastAsia="zh-CN"/>
        </w:rPr>
        <w:t>2023</w:t>
      </w:r>
      <w:r>
        <w:rPr>
          <w:rStyle w:val="8"/>
          <w:rFonts w:hint="eastAsia" w:ascii="黑体" w:eastAsia="黑体"/>
          <w:b w:val="0"/>
          <w:color w:val="auto"/>
          <w:sz w:val="32"/>
          <w:szCs w:val="32"/>
          <w:highlight w:val="none"/>
        </w:rPr>
        <w:t>年</w:t>
      </w:r>
      <w:r>
        <w:rPr>
          <w:rStyle w:val="8"/>
          <w:rFonts w:hint="eastAsia" w:ascii="黑体" w:eastAsia="黑体"/>
          <w:b w:val="0"/>
          <w:color w:val="auto"/>
          <w:sz w:val="32"/>
          <w:szCs w:val="32"/>
          <w:highlight w:val="none"/>
          <w:lang w:eastAsia="zh-CN"/>
        </w:rPr>
        <w:t>松阳县疾病预防控制中心单位部门预算表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（一）2023年县级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（二）2023年县级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（三）2023年县级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（四）2023年县级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（五）2023年县级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（六）2023年县级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（七）2023年县级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（八）2023年县级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（九）2023年县级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lang w:val="en-US" w:eastAsia="zh-CN"/>
        </w:rPr>
        <w:t>（十）2023年县级</w:t>
      </w:r>
      <w:r>
        <w:rPr>
          <w:rFonts w:hint="eastAsia" w:ascii="楷体_GB2312" w:hAnsi="楷体_GB2312" w:eastAsia="楷体_GB2312" w:cs="楷体_GB2312"/>
          <w:b w:val="0"/>
          <w:bCs/>
          <w:color w:val="auto"/>
          <w:sz w:val="32"/>
          <w:szCs w:val="32"/>
          <w:highlight w:val="none"/>
          <w:lang w:eastAsia="zh-CN"/>
        </w:rPr>
        <w:t>单位</w:t>
      </w:r>
      <w:r>
        <w:rPr>
          <w:rFonts w:hint="eastAsia" w:ascii="楷体_GB2312" w:hAnsi="楷体_GB2312" w:eastAsia="楷体_GB2312" w:cs="楷体_GB2312"/>
          <w:b w:val="0"/>
          <w:bCs/>
          <w:color w:val="auto"/>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pStyle w:val="2"/>
        <w:rPr>
          <w:rStyle w:val="8"/>
          <w:rFonts w:hint="eastAsia" w:ascii="黑体" w:eastAsia="黑体"/>
          <w:b w:val="0"/>
          <w:color w:val="auto"/>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rPr>
      </w:pPr>
    </w:p>
    <w:p>
      <w:pPr>
        <w:pStyle w:val="2"/>
        <w:rPr>
          <w:rFonts w:hint="eastAsia"/>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 xml:space="preserve"> 1. </w:t>
      </w:r>
      <w:r>
        <w:rPr>
          <w:rFonts w:hint="eastAsia" w:ascii="仿宋_GB2312" w:eastAsia="仿宋_GB2312"/>
          <w:bCs/>
          <w:sz w:val="32"/>
          <w:szCs w:val="32"/>
          <w:lang w:val="en-US" w:eastAsia="zh-CN"/>
        </w:rPr>
        <w:t>承担疾病预防控制、突发公共卫生事件应急处置、疫情及健康相关因素信息管理、健康危害因素监测与控制。</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2.</w:t>
      </w:r>
      <w:r>
        <w:rPr>
          <w:rFonts w:hint="eastAsia" w:ascii="仿宋_GB2312" w:eastAsia="仿宋_GB2312"/>
          <w:bCs/>
          <w:sz w:val="32"/>
          <w:szCs w:val="32"/>
          <w:lang w:val="en-US" w:eastAsia="zh-CN"/>
        </w:rPr>
        <w:t>实验室检测分析与评价、健康教育与健康促进、人员培训与技术指导等职能。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spacing w:line="540" w:lineRule="exact"/>
        <w:ind w:firstLine="627" w:firstLineChars="196"/>
        <w:rPr>
          <w:rFonts w:hint="eastAsia"/>
          <w:highlight w:val="none"/>
        </w:rPr>
      </w:pPr>
      <w:r>
        <w:rPr>
          <w:rFonts w:hint="eastAsia" w:ascii="仿宋_GB2312" w:eastAsia="仿宋_GB2312"/>
          <w:bCs/>
          <w:sz w:val="32"/>
          <w:szCs w:val="32"/>
        </w:rPr>
        <w:t>从预算单位构成看，</w:t>
      </w:r>
      <w:r>
        <w:rPr>
          <w:rFonts w:hint="eastAsia" w:ascii="仿宋_GB2312" w:eastAsia="仿宋_GB2312"/>
          <w:bCs/>
          <w:sz w:val="32"/>
          <w:szCs w:val="32"/>
          <w:lang w:eastAsia="zh-CN"/>
        </w:rPr>
        <w:t>松阳县疾病预防控制中心单位</w:t>
      </w:r>
      <w:r>
        <w:rPr>
          <w:rFonts w:hint="eastAsia" w:ascii="仿宋_GB2312" w:eastAsia="仿宋_GB2312"/>
          <w:bCs/>
          <w:sz w:val="32"/>
          <w:szCs w:val="32"/>
        </w:rPr>
        <w:t>预算包括：</w:t>
      </w:r>
      <w:r>
        <w:rPr>
          <w:rFonts w:hint="eastAsia" w:ascii="仿宋_GB2312" w:eastAsia="仿宋_GB2312"/>
          <w:bCs/>
          <w:sz w:val="32"/>
          <w:szCs w:val="32"/>
          <w:lang w:eastAsia="zh-CN"/>
        </w:rPr>
        <w:t>松阳县疾病预防控制中心</w:t>
      </w:r>
      <w:r>
        <w:rPr>
          <w:rFonts w:hint="eastAsia" w:ascii="仿宋_GB2312" w:eastAsia="仿宋_GB2312"/>
          <w:bCs/>
          <w:sz w:val="32"/>
          <w:szCs w:val="32"/>
          <w:lang w:val="en-US" w:eastAsia="zh-CN"/>
        </w:rPr>
        <w:t>单位</w:t>
      </w:r>
      <w:r>
        <w:rPr>
          <w:rFonts w:hint="eastAsia" w:ascii="仿宋_GB2312" w:eastAsia="仿宋_GB2312"/>
          <w:bCs/>
          <w:sz w:val="32"/>
          <w:szCs w:val="32"/>
        </w:rPr>
        <w:t>本级预算。</w:t>
      </w:r>
      <w:r>
        <w:rPr>
          <w:rFonts w:hint="eastAsia" w:ascii="仿宋_GB2312" w:eastAsia="仿宋_GB2312"/>
          <w:bCs/>
          <w:sz w:val="32"/>
          <w:szCs w:val="32"/>
          <w:lang w:eastAsia="zh-CN"/>
        </w:rPr>
        <w:t>松阳县疾病预防控制中心</w:t>
      </w:r>
      <w:r>
        <w:rPr>
          <w:rFonts w:hint="eastAsia" w:ascii="仿宋_GB2312" w:eastAsia="仿宋_GB2312"/>
          <w:bCs/>
          <w:sz w:val="32"/>
          <w:szCs w:val="32"/>
          <w:lang w:val="en-US" w:eastAsia="zh-CN"/>
        </w:rPr>
        <w:t>单位内设管理机构 7个：办公室、财务科、卫生科、重病科、慢病健教科、传防科、检验科。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1280" w:right="0" w:rightChars="0" w:hanging="1280" w:hangingChars="400"/>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松阳县疾病预防控制中心</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1280" w:right="0" w:rightChars="0" w:hanging="1280" w:hangingChars="400"/>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说明</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left="1278" w:leftChars="304" w:right="0" w:rightChars="0" w:hanging="640" w:hangingChars="200"/>
        <w:textAlignment w:val="auto"/>
        <w:outlineLvl w:val="9"/>
        <w:rPr>
          <w:rStyle w:val="8"/>
          <w:rFonts w:hint="eastAsia" w:ascii="楷体_GB2312" w:hAnsi="楷体_GB2312" w:eastAsia="楷体_GB2312" w:cs="楷体_GB2312"/>
          <w:b w:val="0"/>
          <w:bCs w:val="0"/>
          <w:color w:val="000000"/>
          <w:sz w:val="32"/>
          <w:szCs w:val="32"/>
          <w:highlight w:val="none"/>
          <w:lang w:eastAsia="zh-CN"/>
        </w:rPr>
      </w:pPr>
      <w:r>
        <w:rPr>
          <w:rFonts w:hint="eastAsia" w:ascii="楷体_GB2312" w:hAnsi="楷体_GB2312" w:eastAsia="楷体_GB2312" w:cs="楷体_GB2312"/>
          <w:b w:val="0"/>
          <w:bCs w:val="0"/>
          <w:color w:val="000000"/>
          <w:sz w:val="32"/>
          <w:szCs w:val="32"/>
          <w:highlight w:val="none"/>
          <w:lang w:eastAsia="zh-CN"/>
        </w:rPr>
        <w:t>关于松阳县疾病预防控制中心</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Chars="104" w:right="0" w:right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楷体_GB2312" w:hAnsi="楷体_GB2312" w:eastAsia="楷体_GB2312" w:cs="楷体_GB2312"/>
          <w:b w:val="0"/>
          <w:bCs w:val="0"/>
          <w:color w:val="000000"/>
          <w:sz w:val="32"/>
          <w:szCs w:val="32"/>
          <w:highlight w:val="none"/>
          <w:lang w:eastAsia="zh-CN"/>
        </w:rPr>
        <w:t>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auto"/>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auto"/>
          <w:sz w:val="32"/>
          <w:szCs w:val="32"/>
          <w:highlight w:val="none"/>
          <w:lang w:val="en-US" w:eastAsia="zh-CN"/>
        </w:rPr>
        <w:t>按照</w:t>
      </w:r>
      <w:r>
        <w:rPr>
          <w:rFonts w:hint="eastAsia" w:ascii="仿宋_GB2312" w:eastAsia="仿宋_GB2312" w:cs="Times New Roman"/>
          <w:b w:val="0"/>
          <w:bCs/>
          <w:color w:val="auto"/>
          <w:sz w:val="32"/>
          <w:szCs w:val="32"/>
          <w:highlight w:val="none"/>
          <w:lang w:val="en-US" w:eastAsia="zh-CN"/>
        </w:rPr>
        <w:t>综合预算的原则，疾控中心</w:t>
      </w:r>
      <w:r>
        <w:rPr>
          <w:rFonts w:hint="eastAsia" w:ascii="仿宋_GB2312" w:eastAsia="仿宋_GB2312"/>
          <w:color w:val="auto"/>
          <w:sz w:val="32"/>
          <w:szCs w:val="32"/>
          <w:highlight w:val="none"/>
          <w:lang w:eastAsia="zh-CN"/>
        </w:rPr>
        <w:t>所有收入和支出均纳入单位预算管理。收入包括：一般公共预算拨款收入；支出包括：社会保障和就业支出、卫生健康支出、住房保障支出。疾控中心</w:t>
      </w:r>
      <w:r>
        <w:rPr>
          <w:rFonts w:hint="eastAsia" w:ascii="仿宋_GB2312" w:eastAsia="仿宋_GB2312"/>
          <w:color w:val="auto"/>
          <w:sz w:val="32"/>
          <w:szCs w:val="32"/>
          <w:highlight w:val="none"/>
          <w:lang w:val="en-US" w:eastAsia="zh-CN"/>
        </w:rPr>
        <w:t>2023年收支总预算881.51万元。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val="en-US" w:eastAsia="zh-CN"/>
        </w:rPr>
        <w:t>（二）</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年收入预算</w:t>
      </w:r>
      <w:r>
        <w:rPr>
          <w:rFonts w:hint="eastAsia" w:ascii="楷体_GB2312" w:hAnsi="楷体_GB2312" w:eastAsia="楷体_GB2312" w:cs="楷体_GB2312"/>
          <w:b w:val="0"/>
          <w:bCs/>
          <w:color w:val="auto"/>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疾控中心2023</w:t>
      </w:r>
      <w:r>
        <w:rPr>
          <w:rFonts w:hint="eastAsia" w:ascii="仿宋_GB2312" w:hAnsi="仿宋_GB2312" w:eastAsia="仿宋_GB2312" w:cs="仿宋_GB2312"/>
          <w:color w:val="auto"/>
          <w:sz w:val="32"/>
          <w:szCs w:val="32"/>
          <w:highlight w:val="none"/>
        </w:rPr>
        <w:t>年收入预算</w:t>
      </w:r>
      <w:r>
        <w:rPr>
          <w:rFonts w:hint="eastAsia" w:ascii="仿宋_GB2312" w:hAnsi="仿宋_GB2312" w:eastAsia="仿宋_GB2312" w:cs="仿宋_GB2312"/>
          <w:color w:val="auto"/>
          <w:sz w:val="32"/>
          <w:szCs w:val="32"/>
          <w:highlight w:val="none"/>
          <w:lang w:val="en-US" w:eastAsia="zh-CN"/>
        </w:rPr>
        <w:t>881.51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比上年执行数增长</w:t>
      </w:r>
      <w:r>
        <w:rPr>
          <w:rFonts w:hint="eastAsia" w:ascii="仿宋_GB2312" w:hAnsi="仿宋_GB2312" w:eastAsia="仿宋_GB2312" w:cs="仿宋_GB2312"/>
          <w:color w:val="auto"/>
          <w:sz w:val="32"/>
          <w:szCs w:val="32"/>
          <w:highlight w:val="none"/>
          <w:lang w:val="en-US" w:eastAsia="zh-CN"/>
        </w:rPr>
        <w:t>37.33万元，增长</w:t>
      </w:r>
      <w:r>
        <w:rPr>
          <w:rFonts w:hint="eastAsia" w:ascii="仿宋_GB2312" w:hAnsi="仿宋_GB2312" w:eastAsia="仿宋_GB2312" w:cs="仿宋_GB2312"/>
          <w:color w:val="auto"/>
          <w:sz w:val="32"/>
          <w:highlight w:val="none"/>
          <w:lang w:val="en-US" w:eastAsia="zh-CN"/>
        </w:rPr>
        <w:t>4.42</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主要是本年度财政拨款增加。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color w:val="auto"/>
          <w:sz w:val="32"/>
          <w:szCs w:val="32"/>
          <w:highlight w:val="none"/>
          <w:lang w:eastAsia="zh-CN"/>
        </w:rPr>
        <w:t>一般公共预算拨款收入</w:t>
      </w:r>
      <w:r>
        <w:rPr>
          <w:rFonts w:hint="eastAsia" w:ascii="仿宋_GB2312" w:eastAsia="仿宋_GB2312"/>
          <w:color w:val="auto"/>
          <w:sz w:val="32"/>
          <w:szCs w:val="32"/>
          <w:highlight w:val="none"/>
          <w:lang w:val="en-US" w:eastAsia="zh-CN"/>
        </w:rPr>
        <w:t>881.51</w:t>
      </w:r>
      <w:r>
        <w:rPr>
          <w:rFonts w:hint="eastAsia" w:ascii="仿宋_GB2312" w:eastAsia="仿宋_GB2312"/>
          <w:color w:val="auto"/>
          <w:sz w:val="32"/>
          <w:szCs w:val="32"/>
          <w:highlight w:val="none"/>
        </w:rPr>
        <w:t>万元，占</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br w:type="textWrapping"/>
      </w:r>
      <w:r>
        <w:rPr>
          <w:rFonts w:hint="eastAsia" w:ascii="楷体_GB2312" w:hAnsi="楷体_GB2312" w:eastAsia="楷体_GB2312" w:cs="楷体_GB2312"/>
          <w:b w:val="0"/>
          <w:bCs/>
          <w:color w:val="auto"/>
          <w:sz w:val="32"/>
          <w:szCs w:val="32"/>
          <w:highlight w:val="none"/>
        </w:rPr>
        <w:t>　　（</w:t>
      </w:r>
      <w:r>
        <w:rPr>
          <w:rFonts w:hint="eastAsia" w:ascii="楷体_GB2312" w:hAnsi="楷体_GB2312" w:eastAsia="楷体_GB2312" w:cs="楷体_GB2312"/>
          <w:b w:val="0"/>
          <w:bCs/>
          <w:color w:val="auto"/>
          <w:sz w:val="32"/>
          <w:szCs w:val="32"/>
          <w:highlight w:val="none"/>
          <w:lang w:eastAsia="zh-CN"/>
        </w:rPr>
        <w:t>三</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年支出预算</w:t>
      </w:r>
      <w:r>
        <w:rPr>
          <w:rFonts w:hint="eastAsia" w:ascii="楷体_GB2312" w:hAnsi="楷体_GB2312" w:eastAsia="楷体_GB2312" w:cs="楷体_GB2312"/>
          <w:b w:val="0"/>
          <w:bCs/>
          <w:color w:val="auto"/>
          <w:sz w:val="32"/>
          <w:szCs w:val="32"/>
          <w:highlight w:val="none"/>
          <w:lang w:eastAsia="zh-CN"/>
        </w:rPr>
        <w:t>情况说明</w:t>
      </w:r>
      <w:r>
        <w:rPr>
          <w:rFonts w:hint="eastAsia" w:ascii="楷体_GB2312" w:hAnsi="楷体_GB2312" w:eastAsia="楷体_GB2312" w:cs="楷体_GB2312"/>
          <w:bCs/>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eastAsia="zh-CN"/>
        </w:rPr>
        <w:t>疾控中心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年支出预算</w:t>
      </w:r>
      <w:r>
        <w:rPr>
          <w:rFonts w:hint="eastAsia" w:ascii="仿宋_GB2312" w:hAnsi="仿宋_GB2312" w:eastAsia="仿宋_GB2312" w:cs="仿宋_GB2312"/>
          <w:color w:val="auto"/>
          <w:sz w:val="32"/>
          <w:szCs w:val="32"/>
          <w:highlight w:val="none"/>
          <w:lang w:val="en-US" w:eastAsia="zh-CN"/>
        </w:rPr>
        <w:t>881.51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比上年执行数增长</w:t>
      </w:r>
      <w:r>
        <w:rPr>
          <w:rFonts w:hint="eastAsia" w:ascii="仿宋_GB2312" w:hAnsi="仿宋_GB2312" w:eastAsia="仿宋_GB2312" w:cs="仿宋_GB2312"/>
          <w:color w:val="auto"/>
          <w:sz w:val="32"/>
          <w:szCs w:val="32"/>
          <w:highlight w:val="none"/>
          <w:lang w:val="en-US" w:eastAsia="zh-CN"/>
        </w:rPr>
        <w:t>37.33万元，增长</w:t>
      </w:r>
      <w:r>
        <w:rPr>
          <w:rFonts w:hint="eastAsia" w:ascii="仿宋_GB2312" w:hAnsi="仿宋_GB2312" w:eastAsia="仿宋_GB2312" w:cs="仿宋_GB2312"/>
          <w:color w:val="auto"/>
          <w:sz w:val="32"/>
          <w:highlight w:val="none"/>
          <w:lang w:val="en-US" w:eastAsia="zh-CN"/>
        </w:rPr>
        <w:t>4.42</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主要是本年度财政拨款增加。</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1.按支出功能分类，</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lang w:val="en-US" w:eastAsia="zh-CN"/>
        </w:rPr>
        <w:t>56.61</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、卫生健康支出</w:t>
      </w:r>
      <w:r>
        <w:rPr>
          <w:rFonts w:hint="eastAsia" w:ascii="仿宋_GB2312" w:eastAsia="仿宋_GB2312"/>
          <w:color w:val="auto"/>
          <w:sz w:val="32"/>
          <w:szCs w:val="32"/>
          <w:highlight w:val="none"/>
          <w:lang w:val="en-US" w:eastAsia="zh-CN"/>
        </w:rPr>
        <w:t>770.72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、住房保障支出</w:t>
      </w:r>
      <w:r>
        <w:rPr>
          <w:rFonts w:hint="eastAsia" w:ascii="仿宋_GB2312" w:eastAsia="仿宋_GB2312"/>
          <w:color w:val="auto"/>
          <w:sz w:val="32"/>
          <w:szCs w:val="32"/>
          <w:highlight w:val="none"/>
          <w:lang w:val="en-US" w:eastAsia="zh-CN"/>
        </w:rPr>
        <w:t>54.18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2.按支出用途分类，</w:t>
      </w:r>
      <w:r>
        <w:rPr>
          <w:rFonts w:hint="eastAsia" w:ascii="仿宋_GB2312" w:eastAsia="仿宋_GB2312"/>
          <w:color w:val="auto"/>
          <w:sz w:val="32"/>
          <w:szCs w:val="32"/>
          <w:highlight w:val="none"/>
          <w:lang w:eastAsia="zh-CN"/>
        </w:rPr>
        <w:t>包括人员</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val="en-US" w:eastAsia="zh-CN"/>
        </w:rPr>
        <w:t>675.50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76.6</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；日常公用支出</w:t>
      </w:r>
      <w:r>
        <w:rPr>
          <w:rFonts w:hint="eastAsia" w:ascii="仿宋_GB2312" w:eastAsia="仿宋_GB2312"/>
          <w:color w:val="auto"/>
          <w:sz w:val="32"/>
          <w:szCs w:val="32"/>
          <w:highlight w:val="none"/>
          <w:lang w:val="en-US" w:eastAsia="zh-CN"/>
        </w:rPr>
        <w:t>64.36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7.3</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项目支出</w:t>
      </w:r>
      <w:r>
        <w:rPr>
          <w:rFonts w:hint="eastAsia" w:ascii="仿宋_GB2312" w:eastAsia="仿宋_GB2312"/>
          <w:color w:val="auto"/>
          <w:sz w:val="32"/>
          <w:szCs w:val="32"/>
          <w:highlight w:val="none"/>
          <w:lang w:val="en-US" w:eastAsia="zh-CN"/>
        </w:rPr>
        <w:t>141.65</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占</w:t>
      </w:r>
      <w:r>
        <w:rPr>
          <w:rFonts w:hint="eastAsia" w:ascii="仿宋_GB2312" w:eastAsia="仿宋_GB2312"/>
          <w:color w:val="auto"/>
          <w:sz w:val="32"/>
          <w:szCs w:val="32"/>
          <w:highlight w:val="none"/>
          <w:lang w:val="en-US" w:eastAsia="zh-CN"/>
        </w:rPr>
        <w:t>16.1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四</w:t>
      </w: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关于</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年财政拨款</w:t>
      </w:r>
      <w:r>
        <w:rPr>
          <w:rFonts w:hint="eastAsia" w:ascii="楷体_GB2312" w:hAnsi="楷体_GB2312" w:eastAsia="楷体_GB2312" w:cs="楷体_GB2312"/>
          <w:b w:val="0"/>
          <w:bCs/>
          <w:color w:val="auto"/>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疾控中心2023年财政拨款收支总预算881.51万元。收入包括：一般公共预算881.51万元;支出包括：</w:t>
      </w:r>
      <w:r>
        <w:rPr>
          <w:rFonts w:hint="eastAsia" w:ascii="仿宋_GB2312" w:eastAsia="仿宋_GB2312"/>
          <w:color w:val="auto"/>
          <w:sz w:val="32"/>
          <w:szCs w:val="32"/>
          <w:highlight w:val="none"/>
          <w:lang w:eastAsia="zh-CN"/>
        </w:rPr>
        <w:t>社会保障和就业支出</w:t>
      </w:r>
      <w:r>
        <w:rPr>
          <w:rFonts w:hint="eastAsia" w:ascii="仿宋_GB2312" w:eastAsia="仿宋_GB2312"/>
          <w:color w:val="auto"/>
          <w:sz w:val="32"/>
          <w:szCs w:val="32"/>
          <w:highlight w:val="none"/>
          <w:lang w:val="en-US" w:eastAsia="zh-CN"/>
        </w:rPr>
        <w:t>56.61</w:t>
      </w:r>
      <w:r>
        <w:rPr>
          <w:rFonts w:hint="eastAsia" w:ascii="仿宋_GB2312" w:eastAsia="仿宋_GB2312"/>
          <w:color w:val="auto"/>
          <w:sz w:val="30"/>
          <w:szCs w:val="30"/>
          <w:highlight w:val="none"/>
        </w:rPr>
        <w:t>万元</w:t>
      </w:r>
      <w:r>
        <w:rPr>
          <w:rFonts w:hint="eastAsia" w:ascii="仿宋_GB2312" w:eastAsia="仿宋_GB2312"/>
          <w:color w:val="auto"/>
          <w:sz w:val="32"/>
          <w:szCs w:val="32"/>
          <w:highlight w:val="none"/>
          <w:lang w:eastAsia="zh-CN"/>
        </w:rPr>
        <w:t>、卫生健康支出</w:t>
      </w:r>
      <w:r>
        <w:rPr>
          <w:rFonts w:hint="eastAsia" w:ascii="仿宋_GB2312" w:eastAsia="仿宋_GB2312"/>
          <w:color w:val="auto"/>
          <w:sz w:val="32"/>
          <w:szCs w:val="32"/>
          <w:highlight w:val="none"/>
          <w:lang w:val="en-US" w:eastAsia="zh-CN"/>
        </w:rPr>
        <w:t>770.72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、住房保障支出</w:t>
      </w:r>
      <w:r>
        <w:rPr>
          <w:rFonts w:hint="eastAsia" w:ascii="仿宋_GB2312" w:eastAsia="仿宋_GB2312"/>
          <w:color w:val="auto"/>
          <w:sz w:val="32"/>
          <w:szCs w:val="32"/>
          <w:highlight w:val="none"/>
          <w:lang w:val="en-US" w:eastAsia="zh-CN"/>
        </w:rPr>
        <w:t>54.18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疾控中心2023年一般公共预算当年拨款881.51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比上年执行数增长</w:t>
      </w:r>
      <w:r>
        <w:rPr>
          <w:rFonts w:hint="eastAsia" w:ascii="仿宋_GB2312" w:hAnsi="仿宋_GB2312" w:eastAsia="仿宋_GB2312" w:cs="仿宋_GB2312"/>
          <w:color w:val="auto"/>
          <w:sz w:val="32"/>
          <w:szCs w:val="32"/>
          <w:highlight w:val="none"/>
          <w:lang w:val="en-US" w:eastAsia="zh-CN"/>
        </w:rPr>
        <w:t>37.33万元，增长</w:t>
      </w:r>
      <w:r>
        <w:rPr>
          <w:rFonts w:hint="eastAsia" w:ascii="仿宋_GB2312" w:hAnsi="仿宋_GB2312" w:eastAsia="仿宋_GB2312" w:cs="仿宋_GB2312"/>
          <w:color w:val="auto"/>
          <w:sz w:val="32"/>
          <w:highlight w:val="none"/>
          <w:lang w:val="en-US" w:eastAsia="zh-CN"/>
        </w:rPr>
        <w:t>4.42</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主要是本年度财政拨款增加。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社会保障和就业（类）支出</w:t>
      </w:r>
      <w:r>
        <w:rPr>
          <w:rFonts w:hint="eastAsia" w:ascii="仿宋_GB2312" w:hAnsi="仿宋_GB2312" w:eastAsia="仿宋_GB2312" w:cs="仿宋_GB2312"/>
          <w:color w:val="auto"/>
          <w:sz w:val="32"/>
          <w:szCs w:val="32"/>
          <w:highlight w:val="none"/>
          <w:lang w:val="en-US" w:eastAsia="zh-CN"/>
        </w:rPr>
        <w:t>56.61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6.42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770.72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87.43%</w:t>
      </w:r>
      <w:r>
        <w:rPr>
          <w:rFonts w:hint="eastAsia" w:ascii="仿宋_GB2312" w:hAnsi="仿宋_GB2312" w:eastAsia="仿宋_GB2312" w:cs="仿宋_GB2312"/>
          <w:color w:val="auto"/>
          <w:sz w:val="32"/>
          <w:szCs w:val="32"/>
          <w:highlight w:val="none"/>
          <w:lang w:eastAsia="zh-CN"/>
        </w:rPr>
        <w:t>住房保障（类）支出</w:t>
      </w:r>
      <w:r>
        <w:rPr>
          <w:rFonts w:hint="eastAsia" w:ascii="仿宋_GB2312" w:hAnsi="仿宋_GB2312" w:eastAsia="仿宋_GB2312" w:cs="仿宋_GB2312"/>
          <w:color w:val="auto"/>
          <w:sz w:val="32"/>
          <w:szCs w:val="32"/>
          <w:highlight w:val="none"/>
          <w:lang w:val="en-US" w:eastAsia="zh-CN"/>
        </w:rPr>
        <w:t>54.18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6.15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37.74</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机关事业单位基本养老保险缴费支出</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18.87</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机关事业单位职业年金缴费支出</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卫生健康支出（类）公共卫生（款）</w:t>
      </w:r>
      <w:r>
        <w:rPr>
          <w:rFonts w:hint="eastAsia" w:ascii="仿宋_GB2312" w:hAnsi="仿宋_GB2312" w:eastAsia="仿宋_GB2312" w:cs="仿宋_GB2312"/>
          <w:color w:val="auto"/>
          <w:sz w:val="32"/>
          <w:szCs w:val="32"/>
          <w:highlight w:val="none"/>
          <w:lang w:eastAsia="zh-CN"/>
        </w:rPr>
        <w:t>疾病预防控制</w:t>
      </w:r>
      <w:r>
        <w:rPr>
          <w:rFonts w:hint="eastAsia" w:ascii="仿宋_GB2312" w:hAnsi="仿宋_GB2312" w:eastAsia="仿宋_GB2312" w:cs="仿宋_GB2312"/>
          <w:color w:val="auto"/>
          <w:sz w:val="32"/>
          <w:szCs w:val="32"/>
          <w:highlight w:val="none"/>
        </w:rPr>
        <w:t>机构（项）</w:t>
      </w:r>
      <w:r>
        <w:rPr>
          <w:rFonts w:hint="eastAsia" w:ascii="仿宋_GB2312" w:hAnsi="仿宋_GB2312" w:eastAsia="仿宋_GB2312" w:cs="仿宋_GB2312"/>
          <w:color w:val="auto"/>
          <w:sz w:val="32"/>
          <w:szCs w:val="32"/>
          <w:highlight w:val="none"/>
          <w:lang w:val="en-US" w:eastAsia="zh-CN"/>
        </w:rPr>
        <w:t>723.47</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lang w:eastAsia="zh-CN"/>
        </w:rPr>
        <w:t>人员经费、公用经费及日常工作经费支出</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47.24</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w:t>
      </w:r>
      <w:r>
        <w:rPr>
          <w:rFonts w:hint="eastAsia" w:ascii="仿宋_GB2312" w:eastAsia="仿宋_GB2312"/>
          <w:color w:val="auto"/>
          <w:sz w:val="32"/>
          <w:szCs w:val="32"/>
          <w:highlight w:val="none"/>
          <w:lang w:eastAsia="zh-CN"/>
        </w:rPr>
        <w:t>医疗保险</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eastAsia="zh-CN"/>
        </w:rPr>
        <w:t>。</w:t>
      </w:r>
    </w:p>
    <w:p>
      <w:pPr>
        <w:pStyle w:val="2"/>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住房保障支出（类）住房改革支出（款）住房公积金（项）</w:t>
      </w:r>
      <w:r>
        <w:rPr>
          <w:rFonts w:hint="eastAsia" w:cs="仿宋_GB2312"/>
          <w:color w:val="auto"/>
          <w:sz w:val="32"/>
          <w:szCs w:val="32"/>
          <w:highlight w:val="none"/>
          <w:lang w:val="en-US" w:eastAsia="zh-CN"/>
        </w:rPr>
        <w:t>54.18</w:t>
      </w:r>
      <w:r>
        <w:rPr>
          <w:rFonts w:hint="eastAsia" w:ascii="仿宋_GB2312" w:hAnsi="仿宋_GB2312" w:eastAsia="仿宋_GB2312" w:cs="仿宋_GB2312"/>
          <w:color w:val="auto"/>
          <w:sz w:val="32"/>
          <w:szCs w:val="32"/>
          <w:highlight w:val="none"/>
        </w:rPr>
        <w:t>万元，主要用于</w:t>
      </w:r>
      <w:r>
        <w:rPr>
          <w:rFonts w:hint="eastAsia" w:ascii="仿宋_GB2312" w:eastAsia="仿宋_GB2312"/>
          <w:color w:val="auto"/>
          <w:sz w:val="32"/>
          <w:szCs w:val="32"/>
          <w:highlight w:val="none"/>
        </w:rPr>
        <w:t>机关事业单位</w:t>
      </w:r>
      <w:r>
        <w:rPr>
          <w:rFonts w:hint="eastAsia" w:ascii="仿宋_GB2312" w:eastAsia="仿宋_GB2312"/>
          <w:color w:val="auto"/>
          <w:sz w:val="32"/>
          <w:szCs w:val="32"/>
          <w:highlight w:val="none"/>
          <w:lang w:eastAsia="zh-CN"/>
        </w:rPr>
        <w:t>住房公积金</w:t>
      </w:r>
      <w:r>
        <w:rPr>
          <w:rFonts w:hint="eastAsia" w:ascii="仿宋_GB2312" w:eastAsia="仿宋_GB2312"/>
          <w:color w:val="auto"/>
          <w:sz w:val="32"/>
          <w:szCs w:val="32"/>
          <w:highlight w:val="none"/>
        </w:rPr>
        <w:t>缴费支出</w:t>
      </w:r>
      <w:r>
        <w:rPr>
          <w:rFonts w:hint="eastAsia"/>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val="en-US" w:eastAsia="zh-CN"/>
        </w:rPr>
        <w:t xml:space="preserve">    （六）</w:t>
      </w:r>
      <w:r>
        <w:rPr>
          <w:rFonts w:hint="eastAsia" w:ascii="楷体_GB2312" w:hAnsi="楷体_GB2312" w:eastAsia="楷体_GB2312" w:cs="楷体_GB2312"/>
          <w:b w:val="0"/>
          <w:bCs/>
          <w:color w:val="auto"/>
          <w:sz w:val="32"/>
          <w:szCs w:val="32"/>
          <w:highlight w:val="none"/>
          <w:lang w:eastAsia="zh-CN"/>
        </w:rPr>
        <w:t>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疾控中心2023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一般公共预算基本支出</w:t>
      </w:r>
      <w:r>
        <w:rPr>
          <w:rFonts w:hint="eastAsia" w:ascii="仿宋_GB2312" w:eastAsia="仿宋_GB2312"/>
          <w:color w:val="auto"/>
          <w:sz w:val="32"/>
          <w:szCs w:val="32"/>
          <w:highlight w:val="none"/>
          <w:lang w:val="en-US" w:eastAsia="zh-CN"/>
        </w:rPr>
        <w:t>739.86万元，其中：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auto"/>
          <w:sz w:val="32"/>
          <w:szCs w:val="32"/>
          <w:highlight w:val="none"/>
          <w:lang w:val="en-US" w:eastAsia="zh-CN"/>
        </w:rPr>
      </w:pPr>
      <w:r>
        <w:rPr>
          <w:rFonts w:hint="eastAsia" w:ascii="仿宋_GB2312" w:eastAsia="仿宋_GB2312" w:cs="Times New Roman"/>
          <w:b w:val="0"/>
          <w:color w:val="auto"/>
          <w:sz w:val="32"/>
          <w:szCs w:val="32"/>
          <w:highlight w:val="none"/>
          <w:lang w:val="en-US" w:eastAsia="zh-CN"/>
        </w:rPr>
        <w:t>人员经费675.5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default"/>
          <w:lang w:val="en-US" w:eastAsia="zh-CN"/>
        </w:rPr>
      </w:pPr>
      <w:r>
        <w:rPr>
          <w:rFonts w:hint="eastAsia" w:ascii="仿宋_GB2312" w:eastAsia="仿宋_GB2312" w:cs="Times New Roman"/>
          <w:b w:val="0"/>
          <w:color w:val="auto"/>
          <w:sz w:val="32"/>
          <w:szCs w:val="32"/>
          <w:highlight w:val="none"/>
          <w:lang w:val="en-US" w:eastAsia="zh-CN"/>
        </w:rPr>
        <w:t>公用经费64.36万元，主要包括：办公费、邮电费、差旅费、公务接待费、劳务费、工会经费、福利费、其他交通费用、其他商品和服务支出。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（七）关于疾控中心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auto"/>
          <w:sz w:val="32"/>
          <w:szCs w:val="32"/>
          <w:highlight w:val="none"/>
          <w:lang w:eastAsia="zh-CN"/>
        </w:rPr>
      </w:pPr>
      <w:r>
        <w:rPr>
          <w:rFonts w:hint="eastAsia" w:ascii="仿宋_GB2312" w:eastAsia="仿宋_GB2312"/>
          <w:color w:val="auto"/>
          <w:sz w:val="32"/>
          <w:szCs w:val="32"/>
          <w:highlight w:val="none"/>
          <w:lang w:val="en-US" w:eastAsia="zh-CN"/>
        </w:rPr>
        <w:t xml:space="preserve">    疾控中心</w:t>
      </w:r>
      <w:r>
        <w:rPr>
          <w:rFonts w:hint="eastAsia" w:ascii="仿宋_GB2312" w:hAnsi="仿宋_GB2312" w:eastAsia="仿宋_GB2312" w:cs="仿宋_GB2312"/>
          <w:color w:val="auto"/>
          <w:sz w:val="32"/>
          <w:szCs w:val="32"/>
          <w:highlight w:val="none"/>
          <w:lang w:val="en-US" w:eastAsia="zh-CN"/>
        </w:rPr>
        <w:t>2023年没有使用政府性基金预算拨款安排的支出。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 xml:space="preserve">    疾控中心</w:t>
      </w:r>
      <w:r>
        <w:rPr>
          <w:rFonts w:hint="eastAsia" w:ascii="仿宋_GB2312" w:hAnsi="仿宋_GB2312" w:eastAsia="仿宋_GB2312" w:cs="仿宋_GB2312"/>
          <w:color w:val="auto"/>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lang w:eastAsia="zh-CN"/>
        </w:rPr>
        <w:t>（九）关于疾控中心</w:t>
      </w:r>
      <w:r>
        <w:rPr>
          <w:rFonts w:hint="eastAsia" w:ascii="楷体_GB2312" w:hAnsi="楷体_GB2312" w:eastAsia="楷体_GB2312" w:cs="楷体_GB2312"/>
          <w:b w:val="0"/>
          <w:bCs/>
          <w:color w:val="auto"/>
          <w:sz w:val="32"/>
          <w:szCs w:val="32"/>
          <w:highlight w:val="none"/>
          <w:lang w:val="en-US" w:eastAsia="zh-CN"/>
        </w:rPr>
        <w:t>2023</w:t>
      </w:r>
      <w:r>
        <w:rPr>
          <w:rFonts w:hint="eastAsia" w:ascii="楷体_GB2312" w:hAnsi="楷体_GB2312" w:eastAsia="楷体_GB2312" w:cs="楷体_GB2312"/>
          <w:b w:val="0"/>
          <w:bCs/>
          <w:color w:val="auto"/>
          <w:sz w:val="32"/>
          <w:szCs w:val="32"/>
          <w:highlight w:val="none"/>
        </w:rPr>
        <w:t>年</w:t>
      </w:r>
      <w:r>
        <w:rPr>
          <w:rFonts w:hint="eastAsia" w:ascii="楷体_GB2312" w:hAnsi="楷体_GB2312" w:eastAsia="楷体_GB2312" w:cs="楷体_GB2312"/>
          <w:b w:val="0"/>
          <w:bCs/>
          <w:color w:val="auto"/>
          <w:sz w:val="32"/>
          <w:szCs w:val="32"/>
          <w:highlight w:val="none"/>
          <w:lang w:eastAsia="zh-CN"/>
        </w:rPr>
        <w:t>一般公共预算</w:t>
      </w:r>
      <w:r>
        <w:rPr>
          <w:rFonts w:hint="eastAsia" w:ascii="楷体_GB2312" w:hAnsi="楷体_GB2312" w:eastAsia="楷体_GB2312" w:cs="楷体_GB2312"/>
          <w:b w:val="0"/>
          <w:bCs/>
          <w:color w:val="auto"/>
          <w:sz w:val="32"/>
          <w:szCs w:val="32"/>
          <w:highlight w:val="none"/>
        </w:rPr>
        <w:t>“三公”经费预算情况</w:t>
      </w:r>
      <w:r>
        <w:rPr>
          <w:rFonts w:hint="eastAsia" w:ascii="楷体_GB2312" w:hAnsi="楷体_GB2312" w:eastAsia="楷体_GB2312" w:cs="楷体_GB2312"/>
          <w:b w:val="0"/>
          <w:bCs/>
          <w:color w:val="auto"/>
          <w:sz w:val="32"/>
          <w:szCs w:val="32"/>
          <w:highlight w:val="none"/>
          <w:lang w:eastAsia="zh-CN"/>
        </w:rPr>
        <w:t>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松阳县疾病预防控制中心2023年“三公”经费预算数为9.41万元，比上年预算数增加9.41万元，增长100%。具体如下：</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1.因公出国（境）费用：根据因公出国计划和实际工作需要，2023年安排因公出国（境）费用预算0万元，与上年预算持平。</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2.公务接待费：2023年安排公务接待费预算1.96万元，比上年预算数增加1.96万元，增长100%。主要用于接待疾病预防控制事务等支出。增加的主要原因是上年度预算由主管部门统一安排，再根据工作预算下达指标，今年根据预算安排，年初预算直接下达本单位。</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3.公务用车购置及运行维护费：2023年安排公务用车购置及运行维护费预算7.46万元，比上年预算数增加7.46万元，增长100%。其中，公务用车购置支出0万元（含购置税等附加费用），主要用于经批准购置的0辆公务用车，与上年预算数持平；公务用车运行维护费支出7.46万元，主要用于公务用车燃料费、维修费、过桥过路费、保险费、安全奖励费用等支出。比上年预算数增加7.46万元，增长100%，</w:t>
      </w:r>
      <w:bookmarkStart w:id="0" w:name="_GoBack"/>
      <w:r>
        <w:rPr>
          <w:rFonts w:hint="eastAsia" w:ascii="仿宋_GB2312" w:eastAsia="仿宋_GB2312"/>
          <w:color w:val="auto"/>
          <w:sz w:val="32"/>
          <w:szCs w:val="32"/>
          <w:highlight w:val="none"/>
          <w:lang w:eastAsia="zh-CN"/>
        </w:rPr>
        <w:t>主要原因是上年度该项费用实行全系统总额控制，年初暂不下达到具体单位。今年本单位因工作需要，按规定程序审核审批同意后，主管部门将指标下达给本单位。</w:t>
      </w:r>
    </w:p>
    <w:bookmarkEnd w:id="0"/>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w:t>
      </w:r>
      <w:r>
        <w:rPr>
          <w:rFonts w:hint="eastAsia" w:ascii="楷体_GB2312" w:hAnsi="楷体_GB2312" w:eastAsia="楷体_GB2312" w:cs="楷体_GB2312"/>
          <w:b w:val="0"/>
          <w:bCs/>
          <w:color w:val="auto"/>
          <w:sz w:val="32"/>
          <w:szCs w:val="32"/>
          <w:highlight w:val="none"/>
          <w:lang w:eastAsia="zh-CN"/>
        </w:rPr>
        <w:t>十</w:t>
      </w:r>
      <w:r>
        <w:rPr>
          <w:rFonts w:hint="eastAsia" w:ascii="楷体_GB2312" w:hAnsi="楷体_GB2312" w:eastAsia="楷体_GB2312" w:cs="楷体_GB2312"/>
          <w:b w:val="0"/>
          <w:bCs/>
          <w:color w:val="auto"/>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auto"/>
          <w:sz w:val="32"/>
          <w:szCs w:val="32"/>
          <w:highlight w:val="none"/>
          <w:u w:val="none"/>
          <w:lang w:eastAsia="zh-CN"/>
        </w:rPr>
      </w:pPr>
      <w:r>
        <w:rPr>
          <w:rFonts w:hint="eastAsia" w:ascii="仿宋_GB2312" w:eastAsia="仿宋_GB2312"/>
          <w:b w:val="0"/>
          <w:bCs w:val="0"/>
          <w:color w:val="auto"/>
          <w:sz w:val="32"/>
          <w:szCs w:val="32"/>
          <w:highlight w:val="none"/>
          <w:u w:val="none"/>
          <w:lang w:val="en-US" w:eastAsia="zh-CN"/>
        </w:rPr>
        <w:t>2023年疾控中心</w:t>
      </w:r>
      <w:r>
        <w:rPr>
          <w:rFonts w:hint="eastAsia" w:ascii="仿宋_GB2312" w:eastAsia="仿宋_GB2312"/>
          <w:color w:val="auto"/>
          <w:sz w:val="32"/>
          <w:szCs w:val="32"/>
          <w:highlight w:val="none"/>
          <w:lang w:eastAsia="zh-CN"/>
        </w:rPr>
        <w:t>各单位政府采购预算总额</w:t>
      </w:r>
      <w:r>
        <w:rPr>
          <w:rFonts w:hint="eastAsia" w:ascii="仿宋_GB2312" w:eastAsia="仿宋_GB2312"/>
          <w:color w:val="auto"/>
          <w:sz w:val="32"/>
          <w:szCs w:val="32"/>
          <w:highlight w:val="none"/>
          <w:lang w:val="en-US" w:eastAsia="zh-CN"/>
        </w:rPr>
        <w:t>7.46万元，其中：政府采购货物预算7.46万元、政府采购工程预算0万元、政府采购服务预算0万元。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截至2022年12月31日，疾控中心</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0辆，其中，省部级领导用车0辆、机要通信用车及应急保障用车0辆、执法执勤用车0辆、特种专业技术用车0辆、老干部服务用车0辆、行政执法专用车0辆。单位价值50万元以上通用设备7台（套），单位价值100万元以上专用设备0台（套）。 </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color w:val="auto"/>
          <w:sz w:val="32"/>
          <w:szCs w:val="32"/>
          <w:highlight w:val="none"/>
          <w:u w:val="none"/>
          <w:lang w:val="en-US" w:eastAsia="zh-CN"/>
        </w:rPr>
      </w:pPr>
      <w:r>
        <w:rPr>
          <w:rFonts w:hint="eastAsia" w:ascii="仿宋_GB2312" w:eastAsia="仿宋_GB2312"/>
          <w:b/>
          <w:bCs/>
          <w:color w:val="auto"/>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2023年疾控中心其他运转类项目和特定目标类项目均实行绩效目标管理，涉及一般公共预算当年拨款141.65万元，一级项目1个。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auto"/>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auto"/>
          <w:spacing w:val="0"/>
          <w:sz w:val="31"/>
          <w:szCs w:val="31"/>
          <w:u w:val="none"/>
          <w:shd w:val="clear" w:fill="FFFFFF"/>
        </w:rPr>
        <w:t>住房保障支出</w:t>
      </w:r>
      <w:r>
        <w:rPr>
          <w:rFonts w:hint="default" w:ascii="仿宋_GB2312" w:hAnsi="宋体" w:eastAsia="仿宋_GB2312" w:cs="仿宋_GB2312"/>
          <w:i w:val="0"/>
          <w:caps w:val="0"/>
          <w:color w:val="auto"/>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auto"/>
          <w:spacing w:val="0"/>
          <w:sz w:val="31"/>
          <w:szCs w:val="31"/>
          <w:u w:val="none"/>
          <w:shd w:val="clear" w:fill="FFFFFF"/>
        </w:rPr>
      </w:pPr>
      <w:r>
        <w:rPr>
          <w:rFonts w:hint="eastAsia" w:ascii="仿宋_GB2312" w:hAnsi="宋体" w:eastAsia="仿宋_GB2312" w:cs="仿宋_GB2312"/>
          <w:i w:val="0"/>
          <w:caps w:val="0"/>
          <w:color w:val="auto"/>
          <w:spacing w:val="0"/>
          <w:sz w:val="31"/>
          <w:szCs w:val="31"/>
          <w:u w:val="none"/>
          <w:shd w:val="clear" w:fill="FFFFFF"/>
          <w:lang w:val="en-US" w:eastAsia="zh-CN"/>
        </w:rPr>
        <w:t>14.</w:t>
      </w:r>
      <w:r>
        <w:rPr>
          <w:rFonts w:ascii="仿宋_GB2312" w:hAnsi="宋体" w:eastAsia="仿宋_GB2312" w:cs="仿宋_GB2312"/>
          <w:i w:val="0"/>
          <w:caps w:val="0"/>
          <w:color w:val="auto"/>
          <w:spacing w:val="0"/>
          <w:sz w:val="31"/>
          <w:szCs w:val="31"/>
          <w:u w:val="none"/>
          <w:shd w:val="clear" w:fill="FFFFFF"/>
        </w:rPr>
        <w:t>社会保障和就业支出</w:t>
      </w:r>
      <w:r>
        <w:rPr>
          <w:rFonts w:hint="default" w:ascii="仿宋_GB2312" w:hAnsi="宋体" w:eastAsia="仿宋_GB2312" w:cs="仿宋_GB2312"/>
          <w:i w:val="0"/>
          <w:caps w:val="0"/>
          <w:color w:val="auto"/>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auto"/>
          <w:spacing w:val="0"/>
          <w:sz w:val="31"/>
          <w:szCs w:val="31"/>
          <w:u w:val="none"/>
          <w:shd w:val="clear" w:fill="FFFFFF"/>
        </w:rPr>
      </w:pPr>
      <w:r>
        <w:rPr>
          <w:rFonts w:hint="eastAsia" w:ascii="仿宋_GB2312" w:hAnsi="宋体" w:eastAsia="仿宋_GB2312" w:cs="仿宋_GB2312"/>
          <w:i w:val="0"/>
          <w:caps w:val="0"/>
          <w:color w:val="auto"/>
          <w:spacing w:val="0"/>
          <w:sz w:val="31"/>
          <w:szCs w:val="31"/>
          <w:u w:val="none"/>
          <w:shd w:val="clear" w:fill="FFFFFF"/>
          <w:lang w:val="en-US" w:eastAsia="zh-CN"/>
        </w:rPr>
        <w:t>15.</w:t>
      </w:r>
      <w:r>
        <w:rPr>
          <w:rFonts w:ascii="仿宋_GB2312" w:hAnsi="宋体" w:eastAsia="仿宋_GB2312" w:cs="仿宋_GB2312"/>
          <w:i w:val="0"/>
          <w:caps w:val="0"/>
          <w:color w:val="auto"/>
          <w:spacing w:val="0"/>
          <w:sz w:val="31"/>
          <w:szCs w:val="31"/>
          <w:u w:val="none"/>
          <w:shd w:val="clear" w:fill="FFFFFF"/>
        </w:rPr>
        <w:t>社会保障和就业支出</w:t>
      </w:r>
      <w:r>
        <w:rPr>
          <w:rFonts w:hint="default" w:ascii="仿宋_GB2312" w:hAnsi="宋体" w:eastAsia="仿宋_GB2312" w:cs="仿宋_GB2312"/>
          <w:i w:val="0"/>
          <w:caps w:val="0"/>
          <w:color w:val="auto"/>
          <w:spacing w:val="0"/>
          <w:sz w:val="31"/>
          <w:szCs w:val="31"/>
          <w:u w:val="none"/>
          <w:shd w:val="clear" w:fill="FFFFFF"/>
        </w:rPr>
        <w:t>（类）行政事业单位养老支出（款）</w:t>
      </w:r>
      <w:r>
        <w:rPr>
          <w:rFonts w:hint="eastAsia" w:hAnsi="宋体" w:cs="仿宋_GB2312"/>
          <w:i w:val="0"/>
          <w:caps w:val="0"/>
          <w:color w:val="auto"/>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auto"/>
          <w:spacing w:val="0"/>
          <w:sz w:val="31"/>
          <w:szCs w:val="31"/>
          <w:u w:val="none"/>
          <w:shd w:val="clear" w:fill="FFFFFF"/>
        </w:rPr>
        <w:t>（项）：指机关事业单位实施养老保险制度由单位</w:t>
      </w:r>
      <w:r>
        <w:rPr>
          <w:rFonts w:hint="eastAsia" w:hAnsi="宋体" w:cs="仿宋_GB2312"/>
          <w:i w:val="0"/>
          <w:caps w:val="0"/>
          <w:color w:val="auto"/>
          <w:spacing w:val="0"/>
          <w:sz w:val="31"/>
          <w:szCs w:val="31"/>
          <w:u w:val="none"/>
          <w:shd w:val="clear" w:fill="FFFFFF"/>
          <w:lang w:eastAsia="zh-CN"/>
        </w:rPr>
        <w:t>实际</w:t>
      </w:r>
      <w:r>
        <w:rPr>
          <w:rFonts w:hint="default" w:ascii="仿宋_GB2312" w:hAnsi="宋体" w:eastAsia="仿宋_GB2312" w:cs="仿宋_GB2312"/>
          <w:i w:val="0"/>
          <w:caps w:val="0"/>
          <w:color w:val="auto"/>
          <w:spacing w:val="0"/>
          <w:sz w:val="31"/>
          <w:szCs w:val="31"/>
          <w:u w:val="none"/>
          <w:shd w:val="clear" w:fill="FFFFFF"/>
        </w:rPr>
        <w:t>缴纳的</w:t>
      </w:r>
      <w:r>
        <w:rPr>
          <w:rFonts w:hint="eastAsia" w:hAnsi="宋体" w:cs="仿宋_GB2312"/>
          <w:i w:val="0"/>
          <w:caps w:val="0"/>
          <w:color w:val="auto"/>
          <w:spacing w:val="0"/>
          <w:sz w:val="31"/>
          <w:szCs w:val="31"/>
          <w:u w:val="none"/>
          <w:shd w:val="clear" w:fill="FFFFFF"/>
          <w:lang w:eastAsia="zh-CN"/>
        </w:rPr>
        <w:t>职业年金支出</w:t>
      </w:r>
      <w:r>
        <w:rPr>
          <w:rFonts w:hint="default" w:ascii="仿宋_GB2312" w:hAnsi="宋体" w:eastAsia="仿宋_GB2312" w:cs="仿宋_GB2312"/>
          <w:i w:val="0"/>
          <w:caps w:val="0"/>
          <w:color w:val="auto"/>
          <w:spacing w:val="0"/>
          <w:sz w:val="31"/>
          <w:szCs w:val="31"/>
          <w:u w:val="none"/>
          <w:shd w:val="clear" w:fill="FFFFFF"/>
        </w:rPr>
        <w:t>。</w:t>
      </w:r>
    </w:p>
    <w:p>
      <w:pPr>
        <w:pStyle w:val="2"/>
        <w:ind w:firstLine="640"/>
        <w:rPr>
          <w:rFonts w:hint="eastAsia" w:ascii="仿宋_GB2312" w:hAnsi="宋体" w:eastAsia="仿宋_GB2312" w:cs="仿宋_GB2312"/>
          <w:i w:val="0"/>
          <w:caps w:val="0"/>
          <w:color w:val="auto"/>
          <w:spacing w:val="0"/>
          <w:sz w:val="31"/>
          <w:szCs w:val="31"/>
          <w:u w:val="none"/>
          <w:shd w:val="clear" w:fill="FFFFFF"/>
          <w:lang w:val="en-US" w:eastAsia="zh-CN"/>
        </w:rPr>
      </w:pPr>
      <w:r>
        <w:rPr>
          <w:rFonts w:hint="eastAsia" w:ascii="仿宋_GB2312" w:hAnsi="宋体" w:eastAsia="仿宋_GB2312" w:cs="仿宋_GB2312"/>
          <w:i w:val="0"/>
          <w:caps w:val="0"/>
          <w:color w:val="auto"/>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auto"/>
          <w:spacing w:val="0"/>
          <w:sz w:val="31"/>
          <w:szCs w:val="31"/>
          <w:u w:val="none"/>
          <w:shd w:val="clear" w:fill="FFFFFF"/>
          <w:lang w:val="en-US" w:eastAsia="zh-CN"/>
        </w:rPr>
      </w:pPr>
      <w:r>
        <w:rPr>
          <w:rFonts w:hint="eastAsia" w:ascii="仿宋_GB2312" w:hAnsi="宋体" w:eastAsia="仿宋_GB2312" w:cs="仿宋_GB2312"/>
          <w:i w:val="0"/>
          <w:caps w:val="0"/>
          <w:color w:val="auto"/>
          <w:spacing w:val="0"/>
          <w:sz w:val="31"/>
          <w:szCs w:val="31"/>
          <w:u w:val="none"/>
          <w:shd w:val="clear" w:fill="FFFFFF"/>
          <w:lang w:val="en-US" w:eastAsia="zh-CN"/>
        </w:rPr>
        <w:t>17.卫生健康支出（类）行政事业单位医疗（款）</w:t>
      </w:r>
      <w:r>
        <w:rPr>
          <w:rFonts w:hint="eastAsia" w:hAnsi="宋体" w:cs="仿宋_GB2312"/>
          <w:i w:val="0"/>
          <w:caps w:val="0"/>
          <w:color w:val="auto"/>
          <w:spacing w:val="0"/>
          <w:sz w:val="31"/>
          <w:szCs w:val="31"/>
          <w:u w:val="none"/>
          <w:shd w:val="clear" w:fill="FFFFFF"/>
          <w:lang w:val="en-US" w:eastAsia="zh-CN"/>
        </w:rPr>
        <w:t>疾控预防控制机构</w:t>
      </w:r>
      <w:r>
        <w:rPr>
          <w:rFonts w:hint="eastAsia" w:ascii="仿宋_GB2312" w:hAnsi="宋体" w:eastAsia="仿宋_GB2312" w:cs="仿宋_GB2312"/>
          <w:i w:val="0"/>
          <w:caps w:val="0"/>
          <w:color w:val="auto"/>
          <w:spacing w:val="0"/>
          <w:sz w:val="31"/>
          <w:szCs w:val="31"/>
          <w:u w:val="none"/>
          <w:shd w:val="clear" w:fill="FFFFFF"/>
          <w:lang w:val="en-US" w:eastAsia="zh-CN"/>
        </w:rPr>
        <w:t>（项）：</w:t>
      </w:r>
      <w:r>
        <w:rPr>
          <w:rFonts w:hint="eastAsia" w:ascii="仿宋_GB2312" w:hAnsi="微软雅黑" w:eastAsia="仿宋_GB2312" w:cs="仿宋_GB2312"/>
          <w:i w:val="0"/>
          <w:caps w:val="0"/>
          <w:color w:val="auto"/>
          <w:spacing w:val="0"/>
          <w:sz w:val="31"/>
          <w:szCs w:val="31"/>
          <w:u w:val="none"/>
          <w:shd w:val="clear" w:fill="FFFFFF"/>
        </w:rPr>
        <w:t>反映卫生健康</w:t>
      </w:r>
      <w:r>
        <w:rPr>
          <w:rFonts w:hint="eastAsia" w:ascii="仿宋_GB2312" w:hAnsi="微软雅黑" w:eastAsia="仿宋_GB2312" w:cs="仿宋_GB2312"/>
          <w:i w:val="0"/>
          <w:caps w:val="0"/>
          <w:color w:val="auto"/>
          <w:spacing w:val="0"/>
          <w:sz w:val="31"/>
          <w:szCs w:val="31"/>
          <w:u w:val="none"/>
          <w:shd w:val="clear" w:fill="FFFFFF"/>
          <w:lang w:eastAsia="zh-CN"/>
        </w:rPr>
        <w:t>单位</w:t>
      </w:r>
      <w:r>
        <w:rPr>
          <w:rFonts w:hint="eastAsia" w:ascii="仿宋_GB2312" w:hAnsi="微软雅黑" w:eastAsia="仿宋_GB2312" w:cs="仿宋_GB2312"/>
          <w:i w:val="0"/>
          <w:caps w:val="0"/>
          <w:color w:val="auto"/>
          <w:spacing w:val="0"/>
          <w:sz w:val="31"/>
          <w:szCs w:val="31"/>
          <w:u w:val="none"/>
          <w:shd w:val="clear" w:fill="FFFFFF"/>
        </w:rPr>
        <w:t>所属</w:t>
      </w:r>
      <w:r>
        <w:rPr>
          <w:rFonts w:hint="eastAsia" w:hAnsi="微软雅黑" w:cs="仿宋_GB2312"/>
          <w:i w:val="0"/>
          <w:caps w:val="0"/>
          <w:color w:val="auto"/>
          <w:spacing w:val="0"/>
          <w:sz w:val="31"/>
          <w:szCs w:val="31"/>
          <w:u w:val="none"/>
          <w:shd w:val="clear" w:fill="FFFFFF"/>
          <w:lang w:eastAsia="zh-CN"/>
        </w:rPr>
        <w:t>疾病预防控制</w:t>
      </w:r>
      <w:r>
        <w:rPr>
          <w:rFonts w:hint="eastAsia" w:ascii="仿宋_GB2312" w:hAnsi="微软雅黑" w:eastAsia="仿宋_GB2312" w:cs="仿宋_GB2312"/>
          <w:i w:val="0"/>
          <w:caps w:val="0"/>
          <w:color w:val="auto"/>
          <w:spacing w:val="0"/>
          <w:sz w:val="31"/>
          <w:szCs w:val="31"/>
          <w:u w:val="none"/>
          <w:shd w:val="clear" w:fill="FFFFFF"/>
        </w:rPr>
        <w:t>机构的支出</w:t>
      </w:r>
      <w:r>
        <w:rPr>
          <w:rFonts w:hint="eastAsia" w:hAnsi="微软雅黑" w:cs="仿宋_GB2312"/>
          <w:i w:val="0"/>
          <w:caps w:val="0"/>
          <w:color w:val="auto"/>
          <w:spacing w:val="0"/>
          <w:sz w:val="31"/>
          <w:szCs w:val="31"/>
          <w:u w:val="none"/>
          <w:shd w:val="clear" w:fill="FFFFFF"/>
          <w:lang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0D3C2"/>
    <w:multiLevelType w:val="singleLevel"/>
    <w:tmpl w:val="E730D3C2"/>
    <w:lvl w:ilvl="0" w:tentative="0">
      <w:start w:val="1"/>
      <w:numFmt w:val="chineseCounting"/>
      <w:suff w:val="nothing"/>
      <w:lvlText w:val="（%1）"/>
      <w:lvlJc w:val="left"/>
      <w:rPr>
        <w:rFonts w:hint="eastAsia"/>
      </w:rPr>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zNjRkYzU4MGQ0NWE0ZGM4M2Y2ZjJjNDRiNjdjNDEifQ=="/>
  </w:docVars>
  <w:rsids>
    <w:rsidRoot w:val="00000000"/>
    <w:rsid w:val="01A33AFE"/>
    <w:rsid w:val="04071455"/>
    <w:rsid w:val="0432483D"/>
    <w:rsid w:val="04CB5D64"/>
    <w:rsid w:val="067D65EF"/>
    <w:rsid w:val="083668D1"/>
    <w:rsid w:val="087222AC"/>
    <w:rsid w:val="0A6E5FC3"/>
    <w:rsid w:val="0BD87E8F"/>
    <w:rsid w:val="0C014F6D"/>
    <w:rsid w:val="0E590236"/>
    <w:rsid w:val="0EB70D18"/>
    <w:rsid w:val="10465DDA"/>
    <w:rsid w:val="11641E21"/>
    <w:rsid w:val="11A77DD3"/>
    <w:rsid w:val="125B4450"/>
    <w:rsid w:val="12AC72CA"/>
    <w:rsid w:val="136C3083"/>
    <w:rsid w:val="16EF5067"/>
    <w:rsid w:val="1AAA6D78"/>
    <w:rsid w:val="1B9544EA"/>
    <w:rsid w:val="1C753D25"/>
    <w:rsid w:val="1ED74D17"/>
    <w:rsid w:val="210512B6"/>
    <w:rsid w:val="24035F1A"/>
    <w:rsid w:val="245B3CCB"/>
    <w:rsid w:val="245D5634"/>
    <w:rsid w:val="249C4E4A"/>
    <w:rsid w:val="255258CA"/>
    <w:rsid w:val="27AF99D0"/>
    <w:rsid w:val="29081BE4"/>
    <w:rsid w:val="291853E7"/>
    <w:rsid w:val="2AED4101"/>
    <w:rsid w:val="305C7C74"/>
    <w:rsid w:val="30C87F7F"/>
    <w:rsid w:val="30CF28EC"/>
    <w:rsid w:val="30D8545C"/>
    <w:rsid w:val="319475AA"/>
    <w:rsid w:val="32CE1FF3"/>
    <w:rsid w:val="32FF21F7"/>
    <w:rsid w:val="3768578B"/>
    <w:rsid w:val="3787034C"/>
    <w:rsid w:val="37904C48"/>
    <w:rsid w:val="38182B6C"/>
    <w:rsid w:val="3A992100"/>
    <w:rsid w:val="3B6C0CD4"/>
    <w:rsid w:val="3E054CA0"/>
    <w:rsid w:val="3E663D4F"/>
    <w:rsid w:val="40261136"/>
    <w:rsid w:val="41260B4E"/>
    <w:rsid w:val="4413460B"/>
    <w:rsid w:val="467807AC"/>
    <w:rsid w:val="479F1816"/>
    <w:rsid w:val="48256030"/>
    <w:rsid w:val="48537EDF"/>
    <w:rsid w:val="48C9653B"/>
    <w:rsid w:val="4AFA32A4"/>
    <w:rsid w:val="4F511463"/>
    <w:rsid w:val="51B255BC"/>
    <w:rsid w:val="542E3461"/>
    <w:rsid w:val="54C31518"/>
    <w:rsid w:val="552C048A"/>
    <w:rsid w:val="55401CDD"/>
    <w:rsid w:val="55CF6795"/>
    <w:rsid w:val="56432923"/>
    <w:rsid w:val="571E649C"/>
    <w:rsid w:val="57330C36"/>
    <w:rsid w:val="5A2A1BF2"/>
    <w:rsid w:val="5BF9A05E"/>
    <w:rsid w:val="5C1C068B"/>
    <w:rsid w:val="5C69184F"/>
    <w:rsid w:val="5CA47F6C"/>
    <w:rsid w:val="5D79574D"/>
    <w:rsid w:val="603D32E9"/>
    <w:rsid w:val="61CD6067"/>
    <w:rsid w:val="63752752"/>
    <w:rsid w:val="66372668"/>
    <w:rsid w:val="68F13985"/>
    <w:rsid w:val="69801C11"/>
    <w:rsid w:val="69C569A2"/>
    <w:rsid w:val="6CB70040"/>
    <w:rsid w:val="6E45421E"/>
    <w:rsid w:val="6E5FE9CF"/>
    <w:rsid w:val="70457C53"/>
    <w:rsid w:val="75061B64"/>
    <w:rsid w:val="753064B9"/>
    <w:rsid w:val="759C24D2"/>
    <w:rsid w:val="76442312"/>
    <w:rsid w:val="76DFF3BC"/>
    <w:rsid w:val="77FF0865"/>
    <w:rsid w:val="793A5ACA"/>
    <w:rsid w:val="79AD5421"/>
    <w:rsid w:val="7A100376"/>
    <w:rsid w:val="7CC548D0"/>
    <w:rsid w:val="7CFB18E8"/>
    <w:rsid w:val="7DBFC2EB"/>
    <w:rsid w:val="7DF36428"/>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4478</Words>
  <Characters>4910</Characters>
  <Lines>0</Lines>
  <Paragraphs>0</Paragraphs>
  <TotalTime>43</TotalTime>
  <ScaleCrop>false</ScaleCrop>
  <LinksUpToDate>false</LinksUpToDate>
  <CharactersWithSpaces>4961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林梦雅</cp:lastModifiedBy>
  <cp:lastPrinted>2022-02-11T18:36:00Z</cp:lastPrinted>
  <dcterms:modified xsi:type="dcterms:W3CDTF">2023-03-31T01:48:13Z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7EFA8375CD9944EE91484C376DC7D06F</vt:lpwstr>
  </property>
</Properties>
</file>