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松阳县看守所</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jc w:val="center"/>
        <w:textAlignment w:val="auto"/>
        <w:outlineLvl w:val="9"/>
        <w:rPr>
          <w:rStyle w:val="7"/>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2023</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看守所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（九）关于看守所</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2023</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看守所单位预算表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7"/>
          <w:rFonts w:hint="eastAsia" w:ascii="黑体" w:eastAsia="黑体"/>
          <w:b w:val="0"/>
          <w:color w:val="000000"/>
          <w:sz w:val="32"/>
          <w:szCs w:val="32"/>
          <w:highlight w:val="none"/>
        </w:rPr>
      </w:pPr>
      <w:r>
        <w:rPr>
          <w:rStyle w:val="7"/>
          <w:rFonts w:hint="eastAsia" w:ascii="黑体" w:eastAsia="黑体"/>
          <w:b w:val="0"/>
          <w:color w:val="000000"/>
          <w:sz w:val="32"/>
          <w:szCs w:val="32"/>
          <w:highlight w:val="none"/>
        </w:rPr>
        <w:t>一、</w:t>
      </w:r>
      <w:r>
        <w:rPr>
          <w:rStyle w:val="7"/>
          <w:rFonts w:hint="eastAsia" w:ascii="黑体" w:eastAsia="黑体"/>
          <w:b w:val="0"/>
          <w:color w:val="000000"/>
          <w:sz w:val="32"/>
          <w:szCs w:val="32"/>
          <w:highlight w:val="none"/>
          <w:lang w:eastAsia="zh-CN"/>
        </w:rPr>
        <w:t>松阳县看守所单位</w:t>
      </w:r>
      <w:r>
        <w:rPr>
          <w:rStyle w:val="7"/>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40" w:lineRule="exact"/>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rPr>
        <w:t>1.</w:t>
      </w:r>
      <w:r>
        <w:rPr>
          <w:rFonts w:hint="eastAsia" w:ascii="仿宋_GB2312" w:eastAsia="仿宋_GB2312"/>
          <w:bCs/>
          <w:sz w:val="32"/>
          <w:szCs w:val="32"/>
          <w:lang w:eastAsia="zh-CN"/>
        </w:rPr>
        <w:t>依据国家法律对被羁押的犯罪嫌疑人、被告人、罪犯实行武装警戒看守，保障安全。</w:t>
      </w:r>
    </w:p>
    <w:p>
      <w:pPr>
        <w:spacing w:line="540" w:lineRule="exact"/>
        <w:ind w:firstLine="640" w:firstLineChars="200"/>
        <w:rPr>
          <w:rFonts w:hint="eastAsia" w:ascii="仿宋_GB2312" w:eastAsia="仿宋_GB2312"/>
          <w:bCs/>
          <w:sz w:val="32"/>
          <w:szCs w:val="32"/>
          <w:lang w:eastAsia="zh-CN"/>
        </w:rPr>
      </w:pPr>
      <w:r>
        <w:rPr>
          <w:rFonts w:hint="eastAsia" w:ascii="仿宋_GB2312" w:eastAsia="仿宋_GB2312"/>
          <w:bCs/>
          <w:sz w:val="32"/>
          <w:szCs w:val="32"/>
        </w:rPr>
        <w:t xml:space="preserve">2. </w:t>
      </w:r>
      <w:r>
        <w:rPr>
          <w:rFonts w:hint="eastAsia" w:ascii="仿宋_GB2312" w:eastAsia="仿宋_GB2312"/>
          <w:bCs/>
          <w:sz w:val="32"/>
          <w:szCs w:val="32"/>
          <w:lang w:eastAsia="zh-CN"/>
        </w:rPr>
        <w:t>对犯罪嫌疑人、被告人、罪犯进行教育。</w:t>
      </w:r>
    </w:p>
    <w:p>
      <w:pPr>
        <w:spacing w:line="54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3、管理犯罪嫌疑人、被告人、犯罪的生活和卫生</w:t>
      </w:r>
      <w:r>
        <w:rPr>
          <w:rFonts w:hint="eastAsia" w:ascii="仿宋_GB2312" w:eastAsia="仿宋_GB2312"/>
          <w:bCs/>
          <w:sz w:val="32"/>
          <w:szCs w:val="32"/>
          <w:lang w:eastAsia="zh-CN"/>
        </w:rPr>
        <w:t>。</w:t>
      </w:r>
    </w:p>
    <w:p>
      <w:pPr>
        <w:spacing w:line="540" w:lineRule="exact"/>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4、保障侦查、起诉、审批的顺利进行</w:t>
      </w:r>
      <w:r>
        <w:rPr>
          <w:rFonts w:hint="eastAsia" w:ascii="仿宋_GB2312" w:eastAsia="仿宋_GB2312"/>
          <w:bCs/>
          <w:sz w:val="32"/>
          <w:szCs w:val="32"/>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eastAsia="仿宋_GB2312"/>
          <w:highlight w:val="none"/>
          <w:lang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看守所</w:t>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eastAsia="zh-CN"/>
        </w:rPr>
        <w:t>看守所</w:t>
      </w:r>
      <w:r>
        <w:rPr>
          <w:rFonts w:hint="eastAsia" w:ascii="仿宋_GB2312" w:eastAsia="仿宋_GB2312"/>
          <w:bCs/>
          <w:sz w:val="32"/>
          <w:szCs w:val="32"/>
          <w:highlight w:val="none"/>
        </w:rPr>
        <w:t>预算</w:t>
      </w:r>
      <w:r>
        <w:rPr>
          <w:rFonts w:hint="eastAsia" w:ascii="仿宋_GB2312" w:eastAsia="仿宋_GB2312"/>
          <w:bCs/>
          <w:sz w:val="32"/>
          <w:szCs w:val="32"/>
          <w:highlight w:val="none"/>
          <w:lang w:eastAsia="zh-CN"/>
        </w:rPr>
        <w:t>。</w:t>
      </w:r>
      <w:r>
        <w:rPr>
          <w:rFonts w:hint="eastAsia" w:ascii="仿宋_GB2312" w:eastAsia="仿宋_GB2312"/>
          <w:bCs/>
          <w:sz w:val="32"/>
          <w:szCs w:val="32"/>
          <w:lang w:eastAsia="zh-CN"/>
        </w:rPr>
        <w:t>属于公安系统下属单位，为公安系统下级二级</w:t>
      </w:r>
      <w:r>
        <w:rPr>
          <w:rFonts w:hint="eastAsia" w:ascii="仿宋_GB2312" w:eastAsia="仿宋_GB2312"/>
          <w:bCs/>
          <w:sz w:val="32"/>
          <w:szCs w:val="32"/>
        </w:rPr>
        <w:t>预算。</w:t>
      </w:r>
      <w:r>
        <w:rPr>
          <w:rFonts w:hint="eastAsia" w:ascii="仿宋_GB2312" w:eastAsia="仿宋_GB2312"/>
          <w:bCs/>
          <w:sz w:val="32"/>
          <w:szCs w:val="32"/>
          <w:lang w:eastAsia="zh-CN"/>
        </w:rPr>
        <w:t>是看守所、拘留所合设单位。</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val="en-US" w:eastAsia="zh-CN"/>
        </w:rPr>
        <w:t xml:space="preserve">    </w:t>
      </w: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2023</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看守所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rPr>
        <w:t>预算安排情况说明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7"/>
          <w:rFonts w:hint="eastAsia" w:ascii="楷体_GB2312" w:hAnsi="楷体_GB2312" w:eastAsia="楷体_GB2312" w:cs="楷体_GB2312"/>
          <w:b w:val="0"/>
          <w:bCs w:val="0"/>
          <w:color w:val="000000"/>
          <w:sz w:val="32"/>
          <w:szCs w:val="32"/>
          <w:highlight w:val="none"/>
          <w:lang w:eastAsia="zh-CN"/>
        </w:rPr>
        <w:t>看守所</w:t>
      </w:r>
      <w:r>
        <w:rPr>
          <w:rStyle w:val="7"/>
          <w:rFonts w:hint="eastAsia" w:ascii="楷体_GB2312" w:hAnsi="楷体_GB2312" w:eastAsia="楷体_GB2312" w:cs="楷体_GB2312"/>
          <w:b w:val="0"/>
          <w:bCs w:val="0"/>
          <w:color w:val="000000"/>
          <w:sz w:val="32"/>
          <w:szCs w:val="32"/>
          <w:highlight w:val="none"/>
          <w:lang w:val="en-US" w:eastAsia="zh-CN"/>
        </w:rPr>
        <w:t>2023</w:t>
      </w:r>
      <w:r>
        <w:rPr>
          <w:rStyle w:val="7"/>
          <w:rFonts w:hint="eastAsia" w:ascii="楷体_GB2312" w:hAnsi="楷体_GB2312" w:eastAsia="楷体_GB2312" w:cs="楷体_GB2312"/>
          <w:b w:val="0"/>
          <w:bCs w:val="0"/>
          <w:color w:val="000000"/>
          <w:sz w:val="32"/>
          <w:szCs w:val="32"/>
          <w:highlight w:val="none"/>
        </w:rPr>
        <w:t>年</w:t>
      </w:r>
      <w:r>
        <w:rPr>
          <w:rStyle w:val="7"/>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看守所所有收入和支出均纳入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预算管理。收入包括：一般公共预算拨款收入；支出包括：公共安全支出、</w:t>
      </w:r>
      <w:r>
        <w:rPr>
          <w:rFonts w:hint="eastAsia" w:ascii="仿宋_GB2312" w:eastAsia="仿宋_GB2312"/>
          <w:color w:val="000000"/>
          <w:sz w:val="32"/>
          <w:szCs w:val="32"/>
          <w:highlight w:val="none"/>
          <w:lang w:val="en-US" w:eastAsia="zh-CN"/>
        </w:rPr>
        <w:t>卫生健康支出。</w:t>
      </w:r>
      <w:r>
        <w:rPr>
          <w:rFonts w:hint="eastAsia" w:ascii="仿宋_GB2312" w:eastAsia="仿宋_GB2312"/>
          <w:color w:val="000000"/>
          <w:sz w:val="32"/>
          <w:szCs w:val="32"/>
          <w:highlight w:val="none"/>
          <w:lang w:eastAsia="zh-CN"/>
        </w:rPr>
        <w:t>看守所</w:t>
      </w:r>
      <w:r>
        <w:rPr>
          <w:rFonts w:hint="eastAsia" w:ascii="仿宋_GB2312" w:eastAsia="仿宋_GB2312"/>
          <w:color w:val="000000"/>
          <w:sz w:val="32"/>
          <w:szCs w:val="32"/>
          <w:highlight w:val="none"/>
          <w:lang w:val="en-US" w:eastAsia="zh-CN"/>
        </w:rPr>
        <w:t>2023年收支总预算239.19万元。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关于看守所</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s="Times New Roman"/>
          <w:color w:val="auto"/>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看守所</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239.19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25.19万元，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长11.8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Times New Roman" w:eastAsia="仿宋_GB2312" w:cs="Times New Roman"/>
          <w:color w:val="auto"/>
          <w:sz w:val="32"/>
          <w:szCs w:val="32"/>
          <w:highlight w:val="none"/>
        </w:rPr>
        <w:t>主要是</w:t>
      </w:r>
      <w:r>
        <w:rPr>
          <w:rFonts w:hint="eastAsia" w:ascii="仿宋_GB2312" w:eastAsia="仿宋_GB2312" w:cs="Times New Roman"/>
          <w:color w:val="auto"/>
          <w:sz w:val="32"/>
          <w:szCs w:val="32"/>
          <w:highlight w:val="none"/>
          <w:lang w:val="en-US" w:eastAsia="zh-CN"/>
        </w:rPr>
        <w:t>增加了卫生健康项目防疫经费支出。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239.19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关于看守所</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s="Times New Roman"/>
          <w:color w:val="auto"/>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看守所</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239.19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加25.19万元，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11.8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Times New Roman" w:eastAsia="仿宋_GB2312" w:cs="Times New Roman"/>
          <w:color w:val="auto"/>
          <w:sz w:val="32"/>
          <w:szCs w:val="32"/>
          <w:highlight w:val="none"/>
        </w:rPr>
        <w:t>主要是</w:t>
      </w:r>
      <w:r>
        <w:rPr>
          <w:rFonts w:hint="eastAsia" w:ascii="仿宋_GB2312" w:eastAsia="仿宋_GB2312" w:cs="Times New Roman"/>
          <w:color w:val="auto"/>
          <w:sz w:val="32"/>
          <w:szCs w:val="32"/>
          <w:highlight w:val="none"/>
          <w:lang w:val="en-US" w:eastAsia="zh-CN"/>
        </w:rPr>
        <w:t>增加了卫生健康项目防疫经费支出。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320" w:firstLineChars="100"/>
        <w:textAlignment w:val="auto"/>
        <w:outlineLvl w:val="9"/>
        <w:rPr>
          <w:rFonts w:hint="eastAsia" w:ascii="仿宋_GB2312" w:eastAsia="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239.19</w:t>
      </w:r>
      <w:r>
        <w:rPr>
          <w:rFonts w:hint="eastAsia" w:ascii="仿宋_GB2312" w:eastAsia="仿宋_GB2312"/>
          <w:color w:val="000000"/>
          <w:sz w:val="32"/>
          <w:szCs w:val="32"/>
          <w:highlight w:val="none"/>
        </w:rPr>
        <w:t>万</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239.19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关于看守所</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看守所</w:t>
      </w:r>
      <w:r>
        <w:rPr>
          <w:rFonts w:hint="eastAsia" w:ascii="仿宋_GB2312" w:eastAsia="仿宋_GB2312"/>
          <w:color w:val="000000"/>
          <w:sz w:val="32"/>
          <w:szCs w:val="32"/>
          <w:highlight w:val="none"/>
          <w:lang w:val="en-US" w:eastAsia="zh-CN"/>
        </w:rPr>
        <w:t>2023年财政拨款收支总预算239.19万元。收入包括：一般公共预算239.19万元；支出包括：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234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5.19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关于看守所</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s="Times New Roman"/>
          <w:color w:val="auto"/>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看守所</w:t>
      </w:r>
      <w:r>
        <w:rPr>
          <w:rFonts w:hint="eastAsia" w:ascii="仿宋_GB2312" w:hAnsi="仿宋_GB2312" w:eastAsia="仿宋_GB2312" w:cs="仿宋_GB2312"/>
          <w:color w:val="000000"/>
          <w:sz w:val="32"/>
          <w:szCs w:val="32"/>
          <w:highlight w:val="none"/>
          <w:lang w:val="en-US" w:eastAsia="zh-CN"/>
        </w:rPr>
        <w:t>2023年一般公共预算当年拨款239.19万元，比上年执行数增加25.19万元，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11.8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Times New Roman" w:eastAsia="仿宋_GB2312" w:cs="Times New Roman"/>
          <w:color w:val="auto"/>
          <w:sz w:val="32"/>
          <w:szCs w:val="32"/>
          <w:highlight w:val="none"/>
        </w:rPr>
        <w:t>主要是</w:t>
      </w:r>
      <w:r>
        <w:rPr>
          <w:rFonts w:hint="eastAsia" w:ascii="仿宋_GB2312" w:eastAsia="仿宋_GB2312" w:cs="Times New Roman"/>
          <w:color w:val="auto"/>
          <w:sz w:val="32"/>
          <w:szCs w:val="32"/>
          <w:highlight w:val="none"/>
          <w:lang w:val="en-US" w:eastAsia="zh-CN"/>
        </w:rPr>
        <w:t>增加了卫生健康项目防疫经费支出。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公共安全（类）支出</w:t>
      </w:r>
      <w:r>
        <w:rPr>
          <w:rFonts w:hint="eastAsia" w:ascii="仿宋_GB2312" w:hAnsi="仿宋_GB2312" w:eastAsia="仿宋_GB2312" w:cs="仿宋_GB2312"/>
          <w:color w:val="000000"/>
          <w:sz w:val="32"/>
          <w:szCs w:val="32"/>
          <w:highlight w:val="none"/>
          <w:lang w:val="en-US" w:eastAsia="zh-CN"/>
        </w:rPr>
        <w:t>234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97.8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5.19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）公共安全</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eastAsia="仿宋_GB2312"/>
          <w:color w:val="000000"/>
          <w:sz w:val="32"/>
          <w:szCs w:val="32"/>
          <w:highlight w:val="none"/>
          <w:lang w:eastAsia="zh-CN"/>
        </w:rPr>
        <w:t>其他公安支出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234</w:t>
      </w:r>
      <w:r>
        <w:rPr>
          <w:rFonts w:hint="eastAsia" w:ascii="仿宋_GB2312" w:hAnsi="仿宋_GB2312" w:eastAsia="仿宋_GB2312" w:cs="仿宋_GB2312"/>
          <w:color w:val="000000"/>
          <w:sz w:val="32"/>
          <w:szCs w:val="32"/>
          <w:highlight w:val="none"/>
        </w:rPr>
        <w:t>万元，主要用于</w:t>
      </w:r>
      <w:r>
        <w:rPr>
          <w:rFonts w:hint="eastAsia" w:ascii="仿宋_GB2312" w:eastAsia="仿宋_GB2312"/>
          <w:color w:val="000000"/>
          <w:sz w:val="32"/>
          <w:szCs w:val="32"/>
          <w:highlight w:val="none"/>
          <w:lang w:eastAsia="zh-CN"/>
        </w:rPr>
        <w:t>看守所拘押人员生活费、医疗费、医疗卫生社会化经费、水电费、设备维修、差旅费、物业管理费</w:t>
      </w:r>
      <w:r>
        <w:rPr>
          <w:rFonts w:hint="eastAsia" w:ascii="仿宋_GB2312" w:eastAsia="仿宋_GB2312" w:cs="Times New Roman"/>
          <w:b w:val="0"/>
          <w:color w:val="000000"/>
          <w:sz w:val="32"/>
          <w:szCs w:val="32"/>
          <w:highlight w:val="none"/>
          <w:lang w:val="en-US" w:eastAsia="zh-CN"/>
        </w:rPr>
        <w:t>、其他商品和服务支出</w:t>
      </w:r>
      <w:r>
        <w:rPr>
          <w:rFonts w:hint="eastAsia" w:ascii="仿宋_GB2312" w:eastAsia="仿宋_GB2312"/>
          <w:color w:val="000000"/>
          <w:sz w:val="32"/>
          <w:szCs w:val="32"/>
          <w:highlight w:val="none"/>
          <w:lang w:eastAsia="zh-CN"/>
        </w:rPr>
        <w:t>等专项经费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其他公共卫生支出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5.19</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疫情防控经费，包括在押人员核酸、</w:t>
      </w:r>
      <w:r>
        <w:rPr>
          <w:rFonts w:hint="eastAsia" w:ascii="仿宋_GB2312" w:hAnsi="仿宋_GB2312" w:eastAsia="仿宋_GB2312" w:cs="仿宋_GB2312"/>
          <w:color w:val="000000"/>
          <w:sz w:val="32"/>
          <w:szCs w:val="32"/>
          <w:highlight w:val="none"/>
          <w:lang w:val="en-US" w:eastAsia="zh-CN"/>
        </w:rPr>
        <w:t>CT检测、额外就医费等</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关于看守所</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看守所</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0万元，其中：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0</w:t>
      </w:r>
      <w:r>
        <w:rPr>
          <w:rFonts w:hint="eastAsia" w:ascii="仿宋_GB2312" w:eastAsia="仿宋_GB2312" w:cs="Times New Roman"/>
          <w:b w:val="0"/>
          <w:color w:val="000000"/>
          <w:sz w:val="32"/>
          <w:szCs w:val="32"/>
          <w:highlight w:val="none"/>
          <w:lang w:val="en-US" w:eastAsia="zh-CN"/>
        </w:rPr>
        <w:t>万元，</w:t>
      </w:r>
      <w:r>
        <w:rPr>
          <w:rFonts w:hint="eastAsia" w:ascii="仿宋_GB2312" w:eastAsia="仿宋_GB2312"/>
          <w:color w:val="000000"/>
          <w:sz w:val="32"/>
          <w:szCs w:val="32"/>
          <w:highlight w:val="none"/>
          <w:lang w:eastAsia="zh-CN"/>
        </w:rPr>
        <w:t>主要原因：看守所人员经费由公安局本级统一开支。</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0</w:t>
      </w:r>
      <w:r>
        <w:rPr>
          <w:rFonts w:hint="eastAsia" w:ascii="仿宋_GB2312" w:eastAsia="仿宋_GB2312" w:cs="Times New Roman"/>
          <w:b w:val="0"/>
          <w:color w:val="000000"/>
          <w:sz w:val="32"/>
          <w:szCs w:val="32"/>
          <w:highlight w:val="none"/>
          <w:lang w:val="en-US" w:eastAsia="zh-CN"/>
        </w:rPr>
        <w:t>万元，</w:t>
      </w:r>
      <w:r>
        <w:rPr>
          <w:rFonts w:hint="eastAsia" w:ascii="仿宋_GB2312" w:eastAsia="仿宋_GB2312"/>
          <w:color w:val="000000"/>
          <w:sz w:val="32"/>
          <w:szCs w:val="32"/>
          <w:highlight w:val="none"/>
          <w:lang w:eastAsia="zh-CN"/>
        </w:rPr>
        <w:t>主要原因：看守所公用经费由公安局本级统一开支。</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（七）关于看守所</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看守所</w:t>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319" w:leftChars="152"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看守所</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（九）关于看守所</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看守所</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b w:val="0"/>
          <w:bCs w:val="0"/>
          <w:sz w:val="32"/>
          <w:szCs w:val="32"/>
          <w:highlight w:val="none"/>
          <w:lang w:eastAsia="zh-CN"/>
        </w:rPr>
        <w:t>主要原因是看守所202</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年度预算经费均为项目支出，且三公经费</w:t>
      </w:r>
      <w:r>
        <w:rPr>
          <w:rFonts w:hint="eastAsia" w:ascii="仿宋_GB2312" w:eastAsia="仿宋_GB2312"/>
          <w:color w:val="000000"/>
          <w:sz w:val="32"/>
          <w:szCs w:val="32"/>
          <w:highlight w:val="none"/>
          <w:lang w:eastAsia="zh-CN"/>
        </w:rPr>
        <w:t>支出由局本级统一开支</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，与上年执行数无变化。</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sz w:val="32"/>
          <w:szCs w:val="32"/>
          <w:highlight w:val="none"/>
        </w:rPr>
        <w:t>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与上年执行数无变化</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与上年执行数无变化</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hAnsi="仿宋_GB2312" w:eastAsia="仿宋_GB2312" w:cs="仿宋_GB2312"/>
          <w:sz w:val="32"/>
          <w:szCs w:val="32"/>
          <w:highlight w:val="none"/>
          <w:lang w:eastAsia="zh-CN"/>
        </w:rPr>
        <w:t>与上年执行数无变化</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与上年执行数无变化。</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行政参公单位填写，事业单位请删除）。</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highlight w:val="none"/>
          <w:u w:val="none"/>
          <w:lang w:val="en-US" w:eastAsia="zh-CN"/>
        </w:rPr>
        <w:t>2023年</w:t>
      </w:r>
      <w:r>
        <w:rPr>
          <w:rFonts w:hint="eastAsia" w:ascii="仿宋_GB2312" w:eastAsia="仿宋_GB2312"/>
          <w:color w:val="000000"/>
          <w:sz w:val="32"/>
          <w:szCs w:val="32"/>
          <w:highlight w:val="none"/>
          <w:lang w:eastAsia="zh-CN"/>
        </w:rPr>
        <w:t>看守所机关运行经费财政拨款预算</w:t>
      </w:r>
      <w:r>
        <w:rPr>
          <w:rFonts w:hint="eastAsia" w:ascii="仿宋_GB2312" w:eastAsia="仿宋_GB2312"/>
          <w:color w:val="000000"/>
          <w:sz w:val="32"/>
          <w:szCs w:val="32"/>
          <w:highlight w:val="none"/>
          <w:lang w:val="en-US" w:eastAsia="zh-CN"/>
        </w:rPr>
        <w:t>0万元，与上年预算无变化</w:t>
      </w:r>
      <w:r>
        <w:rPr>
          <w:rFonts w:hint="eastAsia" w:ascii="仿宋_GB2312" w:hAnsi="仿宋_GB2312" w:eastAsia="仿宋_GB2312" w:cs="Times New Roman"/>
          <w:kern w:val="2"/>
          <w:sz w:val="32"/>
          <w:szCs w:val="20"/>
          <w:highlight w:val="none"/>
          <w:shd w:val="clear" w:color="auto" w:fill="auto"/>
          <w:lang w:val="en-US" w:eastAsia="zh-CN" w:bidi="ar"/>
        </w:rPr>
        <w:t>，原因是</w:t>
      </w:r>
      <w:r>
        <w:rPr>
          <w:rFonts w:hint="eastAsia" w:ascii="仿宋_GB2312" w:eastAsia="仿宋_GB2312"/>
          <w:color w:val="000000"/>
          <w:sz w:val="32"/>
          <w:szCs w:val="32"/>
          <w:lang w:eastAsia="zh-CN"/>
        </w:rPr>
        <w:t>看守所</w:t>
      </w:r>
      <w:r>
        <w:rPr>
          <w:rFonts w:hint="eastAsia" w:ascii="仿宋_GB2312" w:eastAsia="仿宋_GB2312"/>
          <w:color w:val="000000"/>
          <w:sz w:val="32"/>
          <w:szCs w:val="32"/>
        </w:rPr>
        <w:t>机关运行经费</w:t>
      </w:r>
      <w:r>
        <w:rPr>
          <w:rFonts w:hint="eastAsia" w:ascii="仿宋_GB2312" w:eastAsia="仿宋_GB2312"/>
          <w:color w:val="000000"/>
          <w:sz w:val="32"/>
          <w:szCs w:val="32"/>
          <w:lang w:eastAsia="zh-CN"/>
        </w:rPr>
        <w:t>由局本级统一保障，看守所机关运行经费在局本级支出并公开</w:t>
      </w:r>
      <w:r>
        <w:rPr>
          <w:rFonts w:hint="eastAsia" w:ascii="仿宋_GB2312" w:eastAsia="仿宋_GB2312"/>
          <w:color w:val="000000"/>
          <w:sz w:val="32"/>
          <w:szCs w:val="32"/>
        </w:rPr>
        <w:t>。</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2、政府采购情况。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看守所政府采购预算总额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看守所共有车辆</w:t>
      </w:r>
      <w:r>
        <w:rPr>
          <w:rFonts w:hint="eastAsia" w:ascii="仿宋_GB2312" w:hAnsi="仿宋_GB2312" w:eastAsia="仿宋_GB2312" w:cs="仿宋_GB2312"/>
          <w:color w:val="auto"/>
          <w:sz w:val="32"/>
          <w:szCs w:val="32"/>
          <w:highlight w:val="none"/>
          <w:lang w:val="en-US" w:eastAsia="zh-CN"/>
        </w:rPr>
        <w:t>0辆，其中，省部级领导用车0辆、机要通信用车及应急保障用车0辆、执法执勤用车0辆、特种专业技术用车0辆、老干部服务用车0辆、行政执法专用车0辆。</w:t>
      </w:r>
      <w:bookmarkStart w:id="0" w:name="_GoBack"/>
      <w:bookmarkEnd w:id="0"/>
      <w:r>
        <w:rPr>
          <w:rFonts w:hint="eastAsia" w:ascii="仿宋_GB2312" w:hAnsi="仿宋_GB2312" w:eastAsia="仿宋_GB2312" w:cs="仿宋_GB2312"/>
          <w:color w:val="auto"/>
          <w:sz w:val="32"/>
          <w:szCs w:val="32"/>
          <w:highlight w:val="none"/>
          <w:lang w:val="en-US" w:eastAsia="zh-CN"/>
        </w:rPr>
        <w:t xml:space="preserve">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2023年看守所其他运转类项目和特定目标类项目均实行绩效目标管理，涉及一般公共预算当年拨款239.19万元，一级项目1个。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w:t>
      </w:r>
      <w:r>
        <w:rPr>
          <w:rFonts w:hint="eastAsia" w:ascii="仿宋_GB2312" w:eastAsia="仿宋_GB2312"/>
          <w:color w:val="000000"/>
          <w:sz w:val="32"/>
          <w:szCs w:val="32"/>
          <w:highlight w:val="none"/>
        </w:rPr>
        <w:t>公共安全支出（类）公安（款）</w:t>
      </w:r>
      <w:r>
        <w:rPr>
          <w:rFonts w:hint="eastAsia" w:ascii="仿宋_GB2312" w:eastAsia="仿宋_GB2312"/>
          <w:color w:val="000000"/>
          <w:sz w:val="32"/>
          <w:szCs w:val="32"/>
          <w:highlight w:val="none"/>
          <w:lang w:eastAsia="zh-CN"/>
        </w:rPr>
        <w:t>其他公安支出</w:t>
      </w:r>
      <w:r>
        <w:rPr>
          <w:rFonts w:hint="eastAsia" w:ascii="仿宋_GB2312" w:eastAsia="仿宋_GB2312"/>
          <w:color w:val="000000"/>
          <w:sz w:val="32"/>
          <w:szCs w:val="32"/>
          <w:highlight w:val="none"/>
        </w:rPr>
        <w:t>（项）：指</w:t>
      </w:r>
      <w:r>
        <w:rPr>
          <w:rFonts w:hint="eastAsia" w:ascii="仿宋_GB2312" w:eastAsia="仿宋_GB2312"/>
          <w:color w:val="000000"/>
          <w:sz w:val="32"/>
          <w:szCs w:val="32"/>
          <w:highlight w:val="none"/>
          <w:lang w:eastAsia="zh-CN"/>
        </w:rPr>
        <w:t>看守所拘押人员专项经费</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包括经常性业务费、被监管人员给养、监所医疗卫生社会化等。</w:t>
      </w:r>
    </w:p>
    <w:p>
      <w:pPr>
        <w:pStyle w:val="2"/>
        <w:rPr>
          <w:rFonts w:hint="eastAsia"/>
          <w:lang w:val="en-US" w:eastAsia="zh-CN"/>
        </w:rPr>
      </w:pP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hAnsi="宋体" w:cs="仿宋_GB2312"/>
          <w:i w:val="0"/>
          <w:caps w:val="0"/>
          <w:color w:val="000000"/>
          <w:spacing w:val="0"/>
          <w:sz w:val="31"/>
          <w:szCs w:val="31"/>
          <w:u w:val="none"/>
          <w:shd w:val="clear" w:fill="FFFFFF"/>
          <w:lang w:val="en-US" w:eastAsia="zh-CN"/>
        </w:rPr>
        <w:t>8</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w:t>
      </w:r>
      <w:r>
        <w:rPr>
          <w:rFonts w:hint="eastAsia" w:hAnsi="宋体" w:cs="仿宋_GB2312"/>
          <w:i w:val="0"/>
          <w:caps w:val="0"/>
          <w:color w:val="000000"/>
          <w:spacing w:val="0"/>
          <w:sz w:val="31"/>
          <w:szCs w:val="31"/>
          <w:u w:val="none"/>
          <w:shd w:val="clear" w:fill="FFFFFF"/>
          <w:lang w:val="en-US" w:eastAsia="zh-CN"/>
        </w:rPr>
        <w:t>公共卫生</w:t>
      </w:r>
      <w:r>
        <w:rPr>
          <w:rFonts w:hint="eastAsia" w:ascii="仿宋_GB2312" w:hAnsi="宋体" w:eastAsia="仿宋_GB2312" w:cs="仿宋_GB2312"/>
          <w:i w:val="0"/>
          <w:caps w:val="0"/>
          <w:color w:val="000000"/>
          <w:spacing w:val="0"/>
          <w:sz w:val="31"/>
          <w:szCs w:val="31"/>
          <w:u w:val="none"/>
          <w:shd w:val="clear" w:fill="FFFFFF"/>
          <w:lang w:val="en-US" w:eastAsia="zh-CN"/>
        </w:rPr>
        <w:t>（款）</w:t>
      </w:r>
      <w:r>
        <w:rPr>
          <w:rFonts w:hint="eastAsia" w:hAnsi="宋体" w:cs="仿宋_GB2312"/>
          <w:i w:val="0"/>
          <w:caps w:val="0"/>
          <w:color w:val="000000"/>
          <w:spacing w:val="0"/>
          <w:sz w:val="31"/>
          <w:szCs w:val="31"/>
          <w:u w:val="none"/>
          <w:shd w:val="clear" w:fill="FFFFFF"/>
          <w:lang w:val="en-US" w:eastAsia="zh-CN"/>
        </w:rPr>
        <w:t>其他公共卫生支出</w:t>
      </w:r>
      <w:r>
        <w:rPr>
          <w:rFonts w:hint="eastAsia" w:ascii="仿宋_GB2312" w:hAnsi="宋体" w:eastAsia="仿宋_GB2312" w:cs="仿宋_GB2312"/>
          <w:i w:val="0"/>
          <w:caps w:val="0"/>
          <w:color w:val="000000"/>
          <w:spacing w:val="0"/>
          <w:sz w:val="31"/>
          <w:szCs w:val="31"/>
          <w:u w:val="none"/>
          <w:shd w:val="clear" w:fill="FFFFFF"/>
          <w:lang w:val="en-US" w:eastAsia="zh-CN"/>
        </w:rPr>
        <w:t>（项）：</w:t>
      </w:r>
      <w:r>
        <w:rPr>
          <w:rFonts w:hint="eastAsia" w:hAnsi="宋体" w:cs="仿宋_GB2312"/>
          <w:i w:val="0"/>
          <w:caps w:val="0"/>
          <w:color w:val="000000"/>
          <w:spacing w:val="0"/>
          <w:sz w:val="31"/>
          <w:szCs w:val="31"/>
          <w:u w:val="none"/>
          <w:shd w:val="clear" w:fill="FFFFFF"/>
          <w:lang w:val="en-US" w:eastAsia="zh-CN"/>
        </w:rPr>
        <w:t>指其他用于公共卫生方面的支出。包括在押人员核酸、CT检测费、额外就医费用等。</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MTViYmU4NzMwZTNlM2E3OTUxYTExMDE3ZjkwZjQifQ=="/>
  </w:docVars>
  <w:rsids>
    <w:rsidRoot w:val="00000000"/>
    <w:rsid w:val="0181478D"/>
    <w:rsid w:val="01A33AFE"/>
    <w:rsid w:val="0432483D"/>
    <w:rsid w:val="067D65EF"/>
    <w:rsid w:val="08F024B8"/>
    <w:rsid w:val="0C014F6D"/>
    <w:rsid w:val="0D5C45C0"/>
    <w:rsid w:val="0E590236"/>
    <w:rsid w:val="10465DDA"/>
    <w:rsid w:val="11641E21"/>
    <w:rsid w:val="120A78B7"/>
    <w:rsid w:val="125B4450"/>
    <w:rsid w:val="12AC72CA"/>
    <w:rsid w:val="15B12C53"/>
    <w:rsid w:val="16543ACD"/>
    <w:rsid w:val="16EF5067"/>
    <w:rsid w:val="1A9E5104"/>
    <w:rsid w:val="1BFE2CE6"/>
    <w:rsid w:val="1C753D25"/>
    <w:rsid w:val="1DB059C3"/>
    <w:rsid w:val="1ED74D17"/>
    <w:rsid w:val="210512B6"/>
    <w:rsid w:val="245B3CCB"/>
    <w:rsid w:val="255258CA"/>
    <w:rsid w:val="27AF99D0"/>
    <w:rsid w:val="2AED4101"/>
    <w:rsid w:val="2E9279E9"/>
    <w:rsid w:val="30C87F7F"/>
    <w:rsid w:val="30CF28EC"/>
    <w:rsid w:val="31306A1C"/>
    <w:rsid w:val="32D033EA"/>
    <w:rsid w:val="32FF21F7"/>
    <w:rsid w:val="35F51B4F"/>
    <w:rsid w:val="36C10980"/>
    <w:rsid w:val="3787034C"/>
    <w:rsid w:val="396D211D"/>
    <w:rsid w:val="3B2A6DC9"/>
    <w:rsid w:val="3E054CA0"/>
    <w:rsid w:val="3E663D4F"/>
    <w:rsid w:val="41260B4E"/>
    <w:rsid w:val="42523306"/>
    <w:rsid w:val="42B2156C"/>
    <w:rsid w:val="43DB72E5"/>
    <w:rsid w:val="4413460B"/>
    <w:rsid w:val="479F1816"/>
    <w:rsid w:val="48C9653B"/>
    <w:rsid w:val="4AFA32A4"/>
    <w:rsid w:val="4B5A31E5"/>
    <w:rsid w:val="4B7F2C4C"/>
    <w:rsid w:val="54C31518"/>
    <w:rsid w:val="54D76C09"/>
    <w:rsid w:val="55401CDD"/>
    <w:rsid w:val="55C071DF"/>
    <w:rsid w:val="55C35B33"/>
    <w:rsid w:val="55CF6795"/>
    <w:rsid w:val="56432923"/>
    <w:rsid w:val="571E649C"/>
    <w:rsid w:val="57330C36"/>
    <w:rsid w:val="58873ED1"/>
    <w:rsid w:val="5B4D0671"/>
    <w:rsid w:val="5BF9A05E"/>
    <w:rsid w:val="5C1C068B"/>
    <w:rsid w:val="5CA47F6C"/>
    <w:rsid w:val="5D40574B"/>
    <w:rsid w:val="5E5D6E1D"/>
    <w:rsid w:val="61AB34D9"/>
    <w:rsid w:val="653D6509"/>
    <w:rsid w:val="68F13985"/>
    <w:rsid w:val="6C97174C"/>
    <w:rsid w:val="6E45421E"/>
    <w:rsid w:val="6E5FE9CF"/>
    <w:rsid w:val="70457C53"/>
    <w:rsid w:val="70E57FAD"/>
    <w:rsid w:val="722233A5"/>
    <w:rsid w:val="741434DB"/>
    <w:rsid w:val="753064B9"/>
    <w:rsid w:val="759C24D2"/>
    <w:rsid w:val="76442312"/>
    <w:rsid w:val="76DFF3BC"/>
    <w:rsid w:val="77FF0865"/>
    <w:rsid w:val="793A5ACA"/>
    <w:rsid w:val="79AD5421"/>
    <w:rsid w:val="7A100376"/>
    <w:rsid w:val="7CFB18E8"/>
    <w:rsid w:val="7D7D25CD"/>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style>
  <w:style w:type="character" w:styleId="7">
    <w:name w:val="Strong"/>
    <w:basedOn w:val="5"/>
    <w:qFormat/>
    <w:uiPriority w:val="0"/>
    <w:rPr>
      <w:b/>
      <w:bCs/>
    </w:rPr>
  </w:style>
  <w:style w:type="character" w:styleId="8">
    <w:name w:val="page number"/>
    <w:basedOn w:val="5"/>
    <w:qFormat/>
    <w:uiPriority w:val="0"/>
  </w:style>
  <w:style w:type="character" w:styleId="9">
    <w:name w:val="FollowedHyperlink"/>
    <w:basedOn w:val="5"/>
    <w:qFormat/>
    <w:uiPriority w:val="0"/>
    <w:rPr>
      <w:color w:val="800080"/>
      <w:u w:val="none"/>
    </w:rPr>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0000FF"/>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paragraph" w:customStyle="1" w:styleId="16">
    <w:name w:val=" Char"/>
    <w:basedOn w:val="1"/>
    <w:link w:val="5"/>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5"/>
    <w:qFormat/>
    <w:uiPriority w:val="0"/>
  </w:style>
  <w:style w:type="character" w:customStyle="1" w:styleId="19">
    <w:name w:val="image"/>
    <w:basedOn w:val="5"/>
    <w:qFormat/>
    <w:uiPriority w:val="0"/>
  </w:style>
  <w:style w:type="character" w:customStyle="1" w:styleId="20">
    <w:name w:val="image2"/>
    <w:basedOn w:val="5"/>
    <w:qFormat/>
    <w:uiPriority w:val="0"/>
  </w:style>
  <w:style w:type="character" w:customStyle="1" w:styleId="21">
    <w:name w:val="image3"/>
    <w:basedOn w:val="5"/>
    <w:qFormat/>
    <w:uiPriority w:val="0"/>
  </w:style>
  <w:style w:type="character" w:customStyle="1" w:styleId="22">
    <w:name w:val="ui-state-hover21"/>
    <w:basedOn w:val="5"/>
    <w:qFormat/>
    <w:uiPriority w:val="0"/>
  </w:style>
  <w:style w:type="character" w:customStyle="1" w:styleId="23">
    <w:name w:val="ui-state-active5"/>
    <w:basedOn w:val="5"/>
    <w:qFormat/>
    <w:uiPriority w:val="0"/>
  </w:style>
  <w:style w:type="character" w:customStyle="1" w:styleId="24">
    <w:name w:val="ui-state-default12"/>
    <w:basedOn w:val="5"/>
    <w:qFormat/>
    <w:uiPriority w:val="0"/>
  </w:style>
  <w:style w:type="character" w:customStyle="1" w:styleId="25">
    <w:name w:val="ui-state-default13"/>
    <w:basedOn w:val="5"/>
    <w:qFormat/>
    <w:uiPriority w:val="0"/>
  </w:style>
  <w:style w:type="character" w:customStyle="1" w:styleId="26">
    <w:name w:val="clicked1"/>
    <w:basedOn w:val="5"/>
    <w:qFormat/>
    <w:uiPriority w:val="0"/>
    <w:rPr>
      <w:color w:val="000000"/>
    </w:rPr>
  </w:style>
  <w:style w:type="character" w:customStyle="1" w:styleId="27">
    <w:name w:val="clicked2"/>
    <w:basedOn w:val="5"/>
    <w:qFormat/>
    <w:uiPriority w:val="0"/>
  </w:style>
  <w:style w:type="character" w:customStyle="1" w:styleId="28">
    <w:name w:val="clicked3"/>
    <w:basedOn w:val="5"/>
    <w:qFormat/>
    <w:uiPriority w:val="0"/>
  </w:style>
  <w:style w:type="character" w:customStyle="1" w:styleId="29">
    <w:name w:val="button-hover"/>
    <w:basedOn w:val="5"/>
    <w:qFormat/>
    <w:uiPriority w:val="0"/>
  </w:style>
  <w:style w:type="character" w:customStyle="1" w:styleId="30">
    <w:name w:val="button-hover1"/>
    <w:basedOn w:val="5"/>
    <w:qFormat/>
    <w:uiPriority w:val="0"/>
  </w:style>
  <w:style w:type="character" w:customStyle="1" w:styleId="31">
    <w:name w:val="group"/>
    <w:basedOn w:val="5"/>
    <w:qFormat/>
    <w:uiPriority w:val="0"/>
  </w:style>
  <w:style w:type="character" w:customStyle="1" w:styleId="32">
    <w:name w:val="directchildrenspan"/>
    <w:basedOn w:val="5"/>
    <w:qFormat/>
    <w:uiPriority w:val="0"/>
  </w:style>
  <w:style w:type="character" w:customStyle="1" w:styleId="33">
    <w:name w:val="imgspan"/>
    <w:basedOn w:val="5"/>
    <w:qFormat/>
    <w:uiPriority w:val="0"/>
  </w:style>
  <w:style w:type="character" w:customStyle="1" w:styleId="34">
    <w:name w:val="ui-icon34"/>
    <w:basedOn w:val="5"/>
    <w:qFormat/>
    <w:uiPriority w:val="0"/>
  </w:style>
  <w:style w:type="character" w:customStyle="1" w:styleId="35">
    <w:name w:val="newstitle"/>
    <w:basedOn w:val="5"/>
    <w:qFormat/>
    <w:uiPriority w:val="0"/>
    <w:rPr>
      <w:b/>
      <w:color w:val="000000"/>
      <w:sz w:val="24"/>
      <w:szCs w:val="24"/>
    </w:rPr>
  </w:style>
  <w:style w:type="character" w:customStyle="1" w:styleId="36">
    <w:name w:val="ui-state-hover"/>
    <w:basedOn w:val="5"/>
    <w:qFormat/>
    <w:uiPriority w:val="0"/>
  </w:style>
  <w:style w:type="character" w:customStyle="1" w:styleId="37">
    <w:name w:val="image1"/>
    <w:basedOn w:val="5"/>
    <w:qFormat/>
    <w:uiPriority w:val="0"/>
  </w:style>
  <w:style w:type="character" w:customStyle="1" w:styleId="38">
    <w:name w:val="clicked"/>
    <w:basedOn w:val="5"/>
    <w:qFormat/>
    <w:uiPriority w:val="0"/>
  </w:style>
  <w:style w:type="character" w:customStyle="1" w:styleId="39">
    <w:name w:val="ui-state-active"/>
    <w:basedOn w:val="5"/>
    <w:qFormat/>
    <w:uiPriority w:val="0"/>
  </w:style>
  <w:style w:type="character" w:customStyle="1" w:styleId="40">
    <w:name w:val="ui-icon33"/>
    <w:basedOn w:val="5"/>
    <w:qFormat/>
    <w:uiPriority w:val="0"/>
  </w:style>
  <w:style w:type="character" w:customStyle="1" w:styleId="41">
    <w:name w:val="ui-state-active6"/>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2902</Words>
  <Characters>3182</Characters>
  <Lines>0</Lines>
  <Paragraphs>0</Paragraphs>
  <TotalTime>2</TotalTime>
  <ScaleCrop>false</ScaleCrop>
  <LinksUpToDate>false</LinksUpToDate>
  <CharactersWithSpaces>3208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2023-03-24T03:00:41Z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C0191DED26294BB18FE97EF62447A1B4</vt:lpwstr>
  </property>
</Properties>
</file>