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both"/>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松阳县青少年宫</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default" w:ascii="黑体" w:eastAsia="黑体"/>
          <w:b w:val="0"/>
          <w:color w:val="000000"/>
          <w:sz w:val="32"/>
          <w:szCs w:val="32"/>
          <w:highlight w:val="none"/>
          <w:lang w:val="en-US" w:eastAsia="zh-CN"/>
        </w:rPr>
      </w:pPr>
      <w:r>
        <w:rPr>
          <w:rStyle w:val="8"/>
          <w:rFonts w:hint="eastAsia" w:ascii="黑体" w:eastAsia="黑体"/>
          <w:b w:val="0"/>
          <w:color w:val="000000"/>
          <w:sz w:val="32"/>
          <w:szCs w:val="32"/>
          <w:highlight w:val="none"/>
          <w:lang w:val="en-US" w:eastAsia="zh-CN"/>
        </w:rPr>
        <w:t>2023年3月</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松阳县青少年宫</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（九）关于松阳县青少年宫</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松阳县青少年宫</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1. 坚持社会主义办学方向，全面贯彻党和国家教育方针、政策法令及《校外教育工作规程》。</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2.以服务青少年健康成长为宗旨，集青少年思想政治教育、德育教育、科技教育、艺术素质提升、学科知识拓展、优秀文化传承、社会实践活动、体育娱乐等。</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3.是具有鲜明特色的青少年儿童校外教育阵地，为素质教育服务，为松阳教育服务，为学校服务，为家长服务，为努力培养德、智、体全面发展集真善美的中华民族复兴的合格公民和接班人服务。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4.积极组织文化、科技、艺术、体育、少先队等大型活动及各类竞赛，为全县青少年搭建各类成长平台。</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从预算单位构成看，</w:t>
      </w:r>
      <w:r>
        <w:rPr>
          <w:rFonts w:hint="eastAsia" w:ascii="仿宋_GB2312" w:hAnsi="Times New Roman" w:eastAsia="仿宋_GB2312" w:cs="Times New Roman"/>
          <w:bCs/>
          <w:sz w:val="32"/>
          <w:szCs w:val="32"/>
          <w:highlight w:val="none"/>
          <w:lang w:val="zh-CN"/>
        </w:rPr>
        <w:t>松阳县青少年宫</w:t>
      </w:r>
      <w:r>
        <w:rPr>
          <w:rFonts w:hint="eastAsia" w:ascii="仿宋_GB2312" w:hAnsi="Times New Roman" w:eastAsia="仿宋_GB2312" w:cs="Times New Roman"/>
          <w:bCs/>
          <w:sz w:val="32"/>
          <w:szCs w:val="32"/>
          <w:highlight w:val="none"/>
        </w:rPr>
        <w:t>预算包括松阳县青少年宫本级预算。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松阳县青少年宫单位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关于松阳县</w:t>
      </w:r>
      <w:r>
        <w:rPr>
          <w:rStyle w:val="8"/>
          <w:rFonts w:hint="eastAsia" w:ascii="楷体_GB2312" w:hAnsi="楷体_GB2312" w:eastAsia="楷体_GB2312" w:cs="楷体_GB2312"/>
          <w:b w:val="0"/>
          <w:bCs w:val="0"/>
          <w:color w:val="000000"/>
          <w:sz w:val="32"/>
          <w:szCs w:val="32"/>
          <w:highlight w:val="none"/>
          <w:lang w:eastAsia="zh-CN"/>
        </w:rPr>
        <w:t>青少年宫</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w:t>
      </w:r>
      <w:r>
        <w:rPr>
          <w:rFonts w:hint="eastAsia" w:ascii="仿宋_GB2312" w:eastAsia="仿宋_GB2312"/>
          <w:color w:val="000000"/>
          <w:sz w:val="32"/>
          <w:szCs w:val="32"/>
          <w:highlight w:val="none"/>
          <w:lang w:eastAsia="zh-CN"/>
        </w:rPr>
        <w:t>青少年宫所有收入和支出均纳入单位预算管理。收入包括：一般公共预算拨款收入、政府性基金预算收入；支出包括：一般公共服务支出、社会保障和就业支出、卫生健康支出、住房保障支出、其他支出。松阳县青少年宫</w:t>
      </w:r>
      <w:r>
        <w:rPr>
          <w:rFonts w:hint="eastAsia" w:ascii="仿宋_GB2312" w:eastAsia="仿宋_GB2312"/>
          <w:color w:val="000000"/>
          <w:sz w:val="32"/>
          <w:szCs w:val="32"/>
          <w:highlight w:val="none"/>
          <w:lang w:val="en-US" w:eastAsia="zh-CN"/>
        </w:rPr>
        <w:t>2023年收支总预算229.01万元。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松阳县青少年宫</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eastAsia="仿宋_GB2312"/>
          <w:color w:val="000000"/>
          <w:sz w:val="32"/>
          <w:szCs w:val="32"/>
          <w:highlight w:val="none"/>
          <w:lang w:val="en-US" w:eastAsia="zh-CN"/>
        </w:rPr>
        <w:t>229.01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239.63万元，下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51.13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w:t>
      </w:r>
      <w:r>
        <w:rPr>
          <w:rFonts w:hint="eastAsia" w:ascii="仿宋_GB2312" w:eastAsia="仿宋_GB2312" w:cs="Times New Roman"/>
          <w:bCs/>
          <w:sz w:val="32"/>
          <w:szCs w:val="32"/>
          <w:highlight w:val="none"/>
          <w:lang w:val="en-US" w:eastAsia="zh-CN"/>
        </w:rPr>
        <w:t>政府性基金预算减少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上年结转</w:t>
      </w:r>
      <w:r>
        <w:rPr>
          <w:rFonts w:hint="eastAsia" w:ascii="仿宋_GB2312" w:eastAsia="仿宋_GB2312"/>
          <w:color w:val="000000"/>
          <w:sz w:val="32"/>
          <w:szCs w:val="32"/>
          <w:highlight w:val="none"/>
          <w:lang w:val="en-US" w:eastAsia="zh-CN"/>
        </w:rPr>
        <w:t>0万元，</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133.12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58.13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95.89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41.87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val="en-US" w:eastAsia="zh-CN"/>
        </w:rPr>
        <w:t xml:space="preserve"> </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松阳县青少年宫</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229.01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239.63万元，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51.13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主要是2023年政府性基金预算减少。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1.按支出功能分类，包括</w:t>
      </w:r>
      <w:r>
        <w:rPr>
          <w:rFonts w:hint="eastAsia" w:ascii="仿宋_GB2312" w:hAnsi="Times New Roman" w:eastAsia="仿宋_GB2312" w:cs="Times New Roman"/>
          <w:bCs/>
          <w:sz w:val="32"/>
          <w:szCs w:val="32"/>
          <w:highlight w:val="none"/>
          <w:lang w:eastAsia="zh-CN"/>
        </w:rPr>
        <w:t>一般公共服务支出</w:t>
      </w:r>
      <w:r>
        <w:rPr>
          <w:rFonts w:hint="eastAsia" w:ascii="仿宋_GB2312" w:eastAsia="仿宋_GB2312" w:cs="Times New Roman"/>
          <w:bCs/>
          <w:sz w:val="32"/>
          <w:szCs w:val="32"/>
          <w:highlight w:val="none"/>
          <w:lang w:val="en-US" w:eastAsia="zh-CN"/>
        </w:rPr>
        <w:t>103.77</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、社会保障和就业支出</w:t>
      </w:r>
      <w:r>
        <w:rPr>
          <w:rFonts w:hint="eastAsia" w:ascii="仿宋_GB2312" w:eastAsia="仿宋_GB2312" w:cs="Times New Roman"/>
          <w:bCs/>
          <w:sz w:val="32"/>
          <w:szCs w:val="32"/>
          <w:highlight w:val="none"/>
          <w:lang w:val="en-US" w:eastAsia="zh-CN"/>
        </w:rPr>
        <w:t>10.66</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、卫生健康支出</w:t>
      </w:r>
      <w:r>
        <w:rPr>
          <w:rFonts w:hint="eastAsia" w:ascii="仿宋_GB2312" w:eastAsia="仿宋_GB2312" w:cs="Times New Roman"/>
          <w:bCs/>
          <w:sz w:val="32"/>
          <w:szCs w:val="32"/>
          <w:highlight w:val="none"/>
          <w:lang w:val="en-US" w:eastAsia="zh-CN"/>
        </w:rPr>
        <w:t>7.91</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、住房保障支出</w:t>
      </w:r>
      <w:r>
        <w:rPr>
          <w:rFonts w:hint="eastAsia" w:ascii="仿宋_GB2312" w:eastAsia="仿宋_GB2312" w:cs="Times New Roman"/>
          <w:bCs/>
          <w:sz w:val="32"/>
          <w:szCs w:val="32"/>
          <w:highlight w:val="none"/>
          <w:lang w:val="en-US" w:eastAsia="zh-CN"/>
        </w:rPr>
        <w:t>10.78</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、其他支出</w:t>
      </w:r>
      <w:r>
        <w:rPr>
          <w:rFonts w:hint="eastAsia" w:ascii="仿宋_GB2312" w:eastAsia="仿宋_GB2312" w:cs="Times New Roman"/>
          <w:bCs/>
          <w:sz w:val="32"/>
          <w:szCs w:val="32"/>
          <w:highlight w:val="none"/>
          <w:lang w:val="en-US" w:eastAsia="zh-CN"/>
        </w:rPr>
        <w:t>95.89</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2.按支出用途分类，</w:t>
      </w:r>
      <w:r>
        <w:rPr>
          <w:rFonts w:hint="eastAsia" w:ascii="仿宋_GB2312" w:hAnsi="Times New Roman" w:eastAsia="仿宋_GB2312" w:cs="Times New Roman"/>
          <w:bCs/>
          <w:sz w:val="32"/>
          <w:szCs w:val="32"/>
          <w:highlight w:val="none"/>
          <w:lang w:eastAsia="zh-CN"/>
        </w:rPr>
        <w:t>包括人员</w:t>
      </w:r>
      <w:r>
        <w:rPr>
          <w:rFonts w:hint="eastAsia" w:ascii="仿宋_GB2312" w:hAnsi="Times New Roman" w:eastAsia="仿宋_GB2312" w:cs="Times New Roman"/>
          <w:bCs/>
          <w:sz w:val="32"/>
          <w:szCs w:val="32"/>
          <w:highlight w:val="none"/>
        </w:rPr>
        <w:t>支出1</w:t>
      </w:r>
      <w:r>
        <w:rPr>
          <w:rFonts w:hint="eastAsia" w:ascii="仿宋_GB2312" w:eastAsia="仿宋_GB2312" w:cs="Times New Roman"/>
          <w:bCs/>
          <w:sz w:val="32"/>
          <w:szCs w:val="32"/>
          <w:highlight w:val="none"/>
          <w:lang w:val="en-US" w:eastAsia="zh-CN"/>
        </w:rPr>
        <w:t>20.57</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占</w:t>
      </w:r>
      <w:r>
        <w:rPr>
          <w:rFonts w:hint="eastAsia" w:ascii="仿宋_GB2312" w:eastAsia="仿宋_GB2312" w:cs="Times New Roman"/>
          <w:bCs/>
          <w:sz w:val="32"/>
          <w:szCs w:val="32"/>
          <w:highlight w:val="none"/>
          <w:lang w:val="en-US" w:eastAsia="zh-CN"/>
        </w:rPr>
        <w:t>52.65</w:t>
      </w:r>
      <w:r>
        <w:rPr>
          <w:rFonts w:hint="eastAsia"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lang w:eastAsia="zh-CN"/>
        </w:rPr>
        <w:t>；日常公用支出</w:t>
      </w:r>
      <w:r>
        <w:rPr>
          <w:rFonts w:hint="eastAsia" w:ascii="仿宋_GB2312" w:eastAsia="仿宋_GB2312" w:cs="Times New Roman"/>
          <w:bCs/>
          <w:sz w:val="32"/>
          <w:szCs w:val="32"/>
          <w:highlight w:val="none"/>
          <w:lang w:val="en-US" w:eastAsia="zh-CN"/>
        </w:rPr>
        <w:t>12.55</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占</w:t>
      </w:r>
      <w:r>
        <w:rPr>
          <w:rFonts w:hint="eastAsia" w:ascii="仿宋_GB2312" w:eastAsia="仿宋_GB2312" w:cs="Times New Roman"/>
          <w:bCs/>
          <w:sz w:val="32"/>
          <w:szCs w:val="32"/>
          <w:highlight w:val="none"/>
          <w:lang w:val="en-US" w:eastAsia="zh-CN"/>
        </w:rPr>
        <w:t>5.48</w:t>
      </w:r>
      <w:r>
        <w:rPr>
          <w:rFonts w:hint="eastAsia"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lang w:eastAsia="zh-CN"/>
        </w:rPr>
        <w:t>；</w:t>
      </w:r>
      <w:r>
        <w:rPr>
          <w:rFonts w:hint="eastAsia" w:ascii="仿宋_GB2312" w:hAnsi="Times New Roman" w:eastAsia="仿宋_GB2312" w:cs="Times New Roman"/>
          <w:bCs/>
          <w:sz w:val="32"/>
          <w:szCs w:val="32"/>
          <w:highlight w:val="none"/>
        </w:rPr>
        <w:t>项目支出</w:t>
      </w:r>
      <w:r>
        <w:rPr>
          <w:rFonts w:hint="eastAsia" w:ascii="仿宋_GB2312" w:eastAsia="仿宋_GB2312" w:cs="Times New Roman"/>
          <w:bCs/>
          <w:sz w:val="32"/>
          <w:szCs w:val="32"/>
          <w:highlight w:val="none"/>
          <w:lang w:val="en-US" w:eastAsia="zh-CN"/>
        </w:rPr>
        <w:t>95.89</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占</w:t>
      </w:r>
      <w:r>
        <w:rPr>
          <w:rFonts w:hint="eastAsia" w:ascii="仿宋_GB2312" w:eastAsia="仿宋_GB2312" w:cs="Times New Roman"/>
          <w:bCs/>
          <w:sz w:val="32"/>
          <w:szCs w:val="32"/>
          <w:highlight w:val="none"/>
          <w:lang w:val="en-US" w:eastAsia="zh-CN"/>
        </w:rPr>
        <w:t>41.87</w:t>
      </w:r>
      <w:r>
        <w:rPr>
          <w:rFonts w:hint="eastAsia"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lang w:eastAsia="zh-CN"/>
        </w:rPr>
        <w:t>；事业单位经营支出</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占</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lang w:eastAsia="zh-CN"/>
        </w:rPr>
        <w:t>；</w:t>
      </w:r>
      <w:r>
        <w:rPr>
          <w:rFonts w:hint="eastAsia" w:ascii="仿宋_GB2312" w:hAnsi="Times New Roman" w:eastAsia="仿宋_GB2312" w:cs="Times New Roman"/>
          <w:bCs/>
          <w:sz w:val="32"/>
          <w:szCs w:val="32"/>
          <w:highlight w:val="none"/>
          <w:lang w:val="en-US" w:eastAsia="zh-CN"/>
        </w:rPr>
        <w:t>上缴上级支出0万元，占0%；</w:t>
      </w:r>
      <w:r>
        <w:rPr>
          <w:rFonts w:hint="eastAsia" w:ascii="仿宋_GB2312" w:hAnsi="Times New Roman" w:eastAsia="仿宋_GB2312" w:cs="Times New Roman"/>
          <w:bCs/>
          <w:sz w:val="32"/>
          <w:szCs w:val="32"/>
          <w:highlight w:val="none"/>
          <w:lang w:eastAsia="zh-CN"/>
        </w:rPr>
        <w:t>对附属单位补助支出</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占</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w:t>
      </w:r>
      <w:r>
        <w:rPr>
          <w:rFonts w:hint="eastAsia" w:ascii="仿宋_GB2312" w:hAnsi="Times New Roman" w:eastAsia="仿宋_GB2312" w:cs="Times New Roman"/>
          <w:bCs/>
          <w:sz w:val="32"/>
          <w:szCs w:val="32"/>
          <w:highlight w:val="none"/>
          <w:lang w:eastAsia="zh-CN"/>
        </w:rPr>
        <w:t>；上缴上级支出</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占</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lang w:eastAsia="zh-CN"/>
        </w:rPr>
      </w:pPr>
      <w:r>
        <w:rPr>
          <w:rFonts w:hint="eastAsia" w:ascii="仿宋_GB2312" w:hAnsi="Times New Roman" w:eastAsia="仿宋_GB2312" w:cs="Times New Roman"/>
          <w:bCs/>
          <w:sz w:val="32"/>
          <w:szCs w:val="32"/>
          <w:highlight w:val="none"/>
          <w:lang w:eastAsia="zh-CN"/>
        </w:rPr>
        <w:t>结转下年</w:t>
      </w:r>
      <w:r>
        <w:rPr>
          <w:rFonts w:hint="eastAsia" w:ascii="仿宋_GB2312" w:hAnsi="Times New Roman" w:eastAsia="仿宋_GB2312" w:cs="Times New Roman"/>
          <w:bCs/>
          <w:sz w:val="32"/>
          <w:szCs w:val="32"/>
          <w:highlight w:val="none"/>
          <w:lang w:val="en-US" w:eastAsia="zh-CN"/>
        </w:rPr>
        <w:t>0</w:t>
      </w:r>
      <w:r>
        <w:rPr>
          <w:rFonts w:hint="eastAsia" w:ascii="仿宋_GB2312" w:hAnsi="Times New Roman" w:eastAsia="仿宋_GB2312" w:cs="Times New Roman"/>
          <w:bCs/>
          <w:sz w:val="32"/>
          <w:szCs w:val="32"/>
          <w:highlight w:val="none"/>
        </w:rPr>
        <w:t>万元</w:t>
      </w:r>
      <w:r>
        <w:rPr>
          <w:rFonts w:hint="eastAsia" w:ascii="仿宋_GB2312" w:hAnsi="Times New Roman" w:eastAsia="仿宋_GB2312" w:cs="Times New Roman"/>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松阳县青少年宫</w:t>
      </w:r>
      <w:r>
        <w:rPr>
          <w:rFonts w:hint="eastAsia" w:ascii="仿宋_GB2312" w:eastAsia="仿宋_GB2312"/>
          <w:color w:val="000000"/>
          <w:sz w:val="32"/>
          <w:szCs w:val="32"/>
          <w:highlight w:val="none"/>
          <w:lang w:val="en-US" w:eastAsia="zh-CN"/>
        </w:rPr>
        <w:t>2023年财政拨款收支总预算229.01万元。收入包括：一般公共预算133.12万元、政府性基金预算95.89万元；支出包括：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103.77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10.66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7.91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10.78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95.89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松阳县青少年宫</w:t>
      </w:r>
      <w:r>
        <w:rPr>
          <w:rFonts w:hint="eastAsia" w:ascii="仿宋_GB2312" w:hAnsi="仿宋_GB2312" w:eastAsia="仿宋_GB2312" w:cs="仿宋_GB2312"/>
          <w:color w:val="000000"/>
          <w:sz w:val="32"/>
          <w:szCs w:val="32"/>
          <w:highlight w:val="none"/>
          <w:lang w:val="en-US" w:eastAsia="zh-CN"/>
        </w:rPr>
        <w:t>2023年一般公共预算当年拨款133.12万元，比上年执行数增长4.89万元，增长</w:t>
      </w:r>
      <w:r>
        <w:rPr>
          <w:rFonts w:hint="eastAsia" w:ascii="仿宋_GB2312" w:hAnsi="仿宋_GB2312" w:eastAsia="仿宋_GB2312" w:cs="仿宋_GB2312"/>
          <w:color w:val="000000"/>
          <w:sz w:val="32"/>
          <w:highlight w:val="none"/>
          <w:lang w:val="en-US" w:eastAsia="zh-CN"/>
        </w:rPr>
        <w:t>3.81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主要是2023年人员经费增加。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103.77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77.95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10.66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8.01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7.91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5.94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10.78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8.10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（1）一般公共服务支出（类）群众团体事务（款）事业运行（项）</w:t>
      </w:r>
      <w:r>
        <w:rPr>
          <w:rFonts w:hint="eastAsia" w:ascii="仿宋_GB2312" w:eastAsia="仿宋_GB2312" w:cs="Times New Roman"/>
          <w:bCs/>
          <w:sz w:val="32"/>
          <w:szCs w:val="32"/>
          <w:highlight w:val="none"/>
          <w:lang w:val="en-US" w:eastAsia="zh-CN"/>
        </w:rPr>
        <w:t>103.77</w:t>
      </w:r>
      <w:r>
        <w:rPr>
          <w:rFonts w:hint="eastAsia" w:ascii="仿宋_GB2312" w:hAnsi="Times New Roman" w:eastAsia="仿宋_GB2312" w:cs="Times New Roman"/>
          <w:bCs/>
          <w:sz w:val="32"/>
          <w:szCs w:val="32"/>
          <w:highlight w:val="none"/>
        </w:rPr>
        <w:t>万元，</w:t>
      </w:r>
      <w:r>
        <w:rPr>
          <w:rFonts w:hint="eastAsia" w:ascii="仿宋_GB2312" w:hAnsi="仿宋_GB2312" w:eastAsia="仿宋_GB2312" w:cs="仿宋_GB2312"/>
          <w:color w:val="000000"/>
          <w:sz w:val="32"/>
          <w:szCs w:val="32"/>
          <w:highlight w:val="none"/>
        </w:rPr>
        <w:t>主要用于</w:t>
      </w:r>
      <w:r>
        <w:rPr>
          <w:rFonts w:hint="eastAsia" w:ascii="仿宋_GB2312" w:eastAsia="仿宋_GB2312"/>
          <w:color w:val="000000"/>
          <w:sz w:val="32"/>
          <w:szCs w:val="32"/>
        </w:rPr>
        <w:t>工资福利、人员津贴补贴以及日常公用经费等基本支出</w:t>
      </w:r>
      <w:r>
        <w:rPr>
          <w:rFonts w:hint="eastAsia" w:ascii="仿宋_GB2312" w:hAnsi="仿宋_GB2312" w:eastAsia="仿宋_GB2312" w:cs="仿宋_GB2312"/>
          <w:color w:val="000000"/>
          <w:sz w:val="32"/>
          <w:szCs w:val="32"/>
        </w:rPr>
        <w:t>。</w:t>
      </w:r>
      <w:r>
        <w:rPr>
          <w:rFonts w:hint="eastAsia" w:ascii="仿宋_GB2312"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（2）社会保障和就业支出（类）行政事业单位养老支出（款）机关事业单位基本养老保险缴费支出（项）</w:t>
      </w:r>
      <w:r>
        <w:rPr>
          <w:rFonts w:hint="eastAsia" w:ascii="仿宋_GB2312" w:eastAsia="仿宋_GB2312" w:cs="Times New Roman"/>
          <w:bCs/>
          <w:sz w:val="32"/>
          <w:szCs w:val="32"/>
          <w:highlight w:val="none"/>
          <w:lang w:val="en-US" w:eastAsia="zh-CN"/>
        </w:rPr>
        <w:t>7.11</w:t>
      </w:r>
      <w:r>
        <w:rPr>
          <w:rFonts w:hint="eastAsia" w:ascii="仿宋_GB2312" w:hAnsi="Times New Roman" w:eastAsia="仿宋_GB2312" w:cs="Times New Roman"/>
          <w:bCs/>
          <w:sz w:val="32"/>
          <w:szCs w:val="32"/>
          <w:highlight w:val="none"/>
        </w:rPr>
        <w:t>万元，主要用于在职人员基本养老保险缴费支出。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eastAsia="仿宋_GB2312" w:cs="Times New Roman"/>
          <w:bCs/>
          <w:sz w:val="32"/>
          <w:szCs w:val="32"/>
          <w:highlight w:val="none"/>
          <w:lang w:eastAsia="zh-CN"/>
        </w:rPr>
        <w:t>（</w:t>
      </w:r>
      <w:r>
        <w:rPr>
          <w:rFonts w:hint="eastAsia" w:ascii="仿宋_GB2312" w:eastAsia="仿宋_GB2312" w:cs="Times New Roman"/>
          <w:bCs/>
          <w:sz w:val="32"/>
          <w:szCs w:val="32"/>
          <w:highlight w:val="none"/>
          <w:lang w:val="en-US" w:eastAsia="zh-CN"/>
        </w:rPr>
        <w:t>3）</w:t>
      </w:r>
      <w:r>
        <w:rPr>
          <w:rFonts w:hint="eastAsia" w:ascii="仿宋_GB2312" w:hAnsi="Times New Roman" w:eastAsia="仿宋_GB2312" w:cs="Times New Roman"/>
          <w:bCs/>
          <w:sz w:val="32"/>
          <w:szCs w:val="32"/>
          <w:highlight w:val="none"/>
        </w:rPr>
        <w:t>社会保障和就业支出（类）行政事业单位养老支出（款）机关事业单位职业年金缴费支出（项）3.</w:t>
      </w:r>
      <w:r>
        <w:rPr>
          <w:rFonts w:hint="eastAsia" w:ascii="仿宋_GB2312" w:eastAsia="仿宋_GB2312" w:cs="Times New Roman"/>
          <w:bCs/>
          <w:sz w:val="32"/>
          <w:szCs w:val="32"/>
          <w:highlight w:val="none"/>
          <w:lang w:val="en-US" w:eastAsia="zh-CN"/>
        </w:rPr>
        <w:t>55</w:t>
      </w:r>
      <w:r>
        <w:rPr>
          <w:rFonts w:hint="eastAsia" w:ascii="仿宋_GB2312" w:hAnsi="Times New Roman" w:eastAsia="仿宋_GB2312" w:cs="Times New Roman"/>
          <w:bCs/>
          <w:sz w:val="32"/>
          <w:szCs w:val="32"/>
          <w:highlight w:val="none"/>
        </w:rPr>
        <w:t>万元，主要用于在职人员职业年金缴费支出。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w:t>
      </w:r>
      <w:r>
        <w:rPr>
          <w:rFonts w:hint="eastAsia" w:ascii="仿宋_GB2312" w:eastAsia="仿宋_GB2312" w:cs="Times New Roman"/>
          <w:bCs/>
          <w:sz w:val="32"/>
          <w:szCs w:val="32"/>
          <w:highlight w:val="none"/>
          <w:lang w:val="en-US" w:eastAsia="zh-CN"/>
        </w:rPr>
        <w:t>4</w:t>
      </w:r>
      <w:r>
        <w:rPr>
          <w:rFonts w:hint="eastAsia" w:ascii="仿宋_GB2312" w:hAnsi="Times New Roman" w:eastAsia="仿宋_GB2312" w:cs="Times New Roman"/>
          <w:bCs/>
          <w:sz w:val="32"/>
          <w:szCs w:val="32"/>
          <w:highlight w:val="none"/>
        </w:rPr>
        <w:t>）卫生健康支出（类）行政事业单位医疗（款）事业单位医疗（项）</w:t>
      </w:r>
      <w:r>
        <w:rPr>
          <w:rFonts w:hint="eastAsia" w:ascii="仿宋_GB2312" w:eastAsia="仿宋_GB2312" w:cs="Times New Roman"/>
          <w:bCs/>
          <w:sz w:val="32"/>
          <w:szCs w:val="32"/>
          <w:highlight w:val="none"/>
          <w:lang w:val="en-US" w:eastAsia="zh-CN"/>
        </w:rPr>
        <w:t>7.91</w:t>
      </w:r>
      <w:r>
        <w:rPr>
          <w:rFonts w:hint="eastAsia" w:ascii="仿宋_GB2312" w:hAnsi="Times New Roman" w:eastAsia="仿宋_GB2312" w:cs="Times New Roman"/>
          <w:bCs/>
          <w:sz w:val="32"/>
          <w:szCs w:val="32"/>
          <w:highlight w:val="none"/>
        </w:rPr>
        <w:t>万元，主要用于在职人员及离退休人员医疗保险缴费。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w:t>
      </w:r>
      <w:r>
        <w:rPr>
          <w:rFonts w:hint="eastAsia" w:ascii="仿宋_GB2312" w:eastAsia="仿宋_GB2312" w:cs="Times New Roman"/>
          <w:bCs/>
          <w:sz w:val="32"/>
          <w:szCs w:val="32"/>
          <w:highlight w:val="none"/>
          <w:lang w:val="en-US" w:eastAsia="zh-CN"/>
        </w:rPr>
        <w:t>5</w:t>
      </w:r>
      <w:r>
        <w:rPr>
          <w:rFonts w:hint="eastAsia" w:ascii="仿宋_GB2312" w:hAnsi="Times New Roman" w:eastAsia="仿宋_GB2312" w:cs="Times New Roman"/>
          <w:bCs/>
          <w:sz w:val="32"/>
          <w:szCs w:val="32"/>
          <w:highlight w:val="none"/>
        </w:rPr>
        <w:t>）住房保障支出（类）住房改革支出（款住房公积金（项）10.</w:t>
      </w:r>
      <w:r>
        <w:rPr>
          <w:rFonts w:hint="eastAsia" w:ascii="仿宋_GB2312" w:eastAsia="仿宋_GB2312" w:cs="Times New Roman"/>
          <w:bCs/>
          <w:sz w:val="32"/>
          <w:szCs w:val="32"/>
          <w:highlight w:val="none"/>
          <w:lang w:val="en-US" w:eastAsia="zh-CN"/>
        </w:rPr>
        <w:t>78</w:t>
      </w:r>
      <w:r>
        <w:rPr>
          <w:rFonts w:hint="eastAsia" w:ascii="仿宋_GB2312" w:hAnsi="Times New Roman" w:eastAsia="仿宋_GB2312" w:cs="Times New Roman"/>
          <w:bCs/>
          <w:sz w:val="32"/>
          <w:szCs w:val="32"/>
          <w:highlight w:val="none"/>
        </w:rPr>
        <w:t>万元，主要用于按照规定比例为职工缴纳住房公积金。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松阳县青少年宫</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133.12万元，其中：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120.57</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w:t>
      </w:r>
      <w:r>
        <w:rPr>
          <w:rFonts w:hint="eastAsia" w:ascii="仿宋_GB2312" w:hAnsi="Times New Roman" w:eastAsia="仿宋_GB2312" w:cs="Times New Roman"/>
          <w:bCs/>
          <w:sz w:val="32"/>
          <w:szCs w:val="32"/>
          <w:highlight w:val="none"/>
        </w:rPr>
        <w:t>其他对个人和家庭的补助</w:t>
      </w:r>
      <w:r>
        <w:rPr>
          <w:rFonts w:hint="eastAsia" w:ascii="仿宋_GB2312" w:eastAsia="仿宋_GB2312" w:cs="Times New Roman"/>
          <w:bCs/>
          <w:sz w:val="32"/>
          <w:szCs w:val="32"/>
          <w:highlight w:val="none"/>
          <w:lang w:eastAsia="zh-CN"/>
        </w:rPr>
        <w:t>、</w:t>
      </w:r>
      <w:r>
        <w:rPr>
          <w:rFonts w:hint="eastAsia" w:ascii="仿宋_GB2312" w:eastAsia="仿宋_GB2312" w:cs="Times New Roman"/>
          <w:bCs/>
          <w:sz w:val="32"/>
          <w:szCs w:val="32"/>
          <w:highlight w:val="none"/>
          <w:lang w:val="en-US" w:eastAsia="zh-CN"/>
        </w:rPr>
        <w:t>退休费</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12.55</w:t>
      </w:r>
      <w:r>
        <w:rPr>
          <w:rFonts w:hint="eastAsia" w:ascii="仿宋_GB2312" w:eastAsia="仿宋_GB2312" w:cs="Times New Roman"/>
          <w:b w:val="0"/>
          <w:color w:val="000000"/>
          <w:sz w:val="32"/>
          <w:szCs w:val="32"/>
          <w:highlight w:val="none"/>
          <w:lang w:val="en-US" w:eastAsia="zh-CN"/>
        </w:rPr>
        <w:t>万元，主要包括：办公费、电费、培训费、工会经费、福利费。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松阳县青少年宫</w:t>
      </w:r>
      <w:r>
        <w:rPr>
          <w:rFonts w:hint="eastAsia" w:ascii="仿宋_GB2312" w:hAnsi="仿宋_GB2312" w:eastAsia="仿宋_GB2312" w:cs="仿宋_GB2312"/>
          <w:color w:val="000000"/>
          <w:sz w:val="32"/>
          <w:szCs w:val="32"/>
          <w:highlight w:val="none"/>
          <w:lang w:val="en-US" w:eastAsia="zh-CN"/>
        </w:rPr>
        <w:t>2023年政府性基金预算当年拨款95.89万元，比2022年执行数减少244.52万元，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71.83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w:t>
      </w:r>
      <w:r>
        <w:rPr>
          <w:rFonts w:hint="eastAsia" w:ascii="仿宋_GB2312" w:eastAsia="仿宋_GB2312" w:cs="Times New Roman"/>
          <w:bCs/>
          <w:sz w:val="32"/>
          <w:szCs w:val="32"/>
          <w:highlight w:val="none"/>
          <w:lang w:val="en-US" w:eastAsia="zh-CN"/>
        </w:rPr>
        <w:t>政府性基金预算减少</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Times New Roman" w:eastAsia="仿宋_GB2312" w:cs="Times New Roman"/>
          <w:bCs/>
          <w:sz w:val="32"/>
          <w:szCs w:val="32"/>
          <w:highlight w:val="none"/>
        </w:rPr>
        <w:t>其他支出</w:t>
      </w:r>
      <w:r>
        <w:rPr>
          <w:rFonts w:hint="eastAsia" w:ascii="仿宋_GB2312" w:hAnsi="仿宋_GB2312" w:eastAsia="仿宋_GB2312" w:cs="仿宋_GB2312"/>
          <w:color w:val="000000"/>
          <w:sz w:val="32"/>
          <w:szCs w:val="32"/>
          <w:highlight w:val="none"/>
          <w:lang w:val="en-US" w:eastAsia="zh-CN"/>
        </w:rPr>
        <w:t>（类）支出95.89万元，占100%。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（1）其他支出（类）其他政府性基金及对应专项债务收入安排的支出（款）其他政府性基金安排的支出（项）</w:t>
      </w:r>
      <w:r>
        <w:rPr>
          <w:rFonts w:hint="eastAsia" w:ascii="仿宋_GB2312" w:eastAsia="仿宋_GB2312" w:cs="Times New Roman"/>
          <w:bCs/>
          <w:sz w:val="32"/>
          <w:szCs w:val="32"/>
          <w:highlight w:val="none"/>
          <w:lang w:val="en-US" w:eastAsia="zh-CN"/>
        </w:rPr>
        <w:t>95.89</w:t>
      </w:r>
      <w:r>
        <w:rPr>
          <w:rFonts w:hint="eastAsia" w:ascii="仿宋_GB2312" w:hAnsi="Times New Roman" w:eastAsia="仿宋_GB2312" w:cs="Times New Roman"/>
          <w:bCs/>
          <w:sz w:val="32"/>
          <w:szCs w:val="32"/>
          <w:highlight w:val="none"/>
        </w:rPr>
        <w:t>万元，主要用于日常运行经费、编外教师工资、外聘教师课酬、活动经费、教育培训经费</w:t>
      </w:r>
      <w:r>
        <w:rPr>
          <w:rFonts w:hint="eastAsia" w:ascii="仿宋_GB2312" w:eastAsia="仿宋_GB2312" w:cs="Times New Roman"/>
          <w:bCs/>
          <w:sz w:val="32"/>
          <w:szCs w:val="32"/>
          <w:highlight w:val="none"/>
          <w:lang w:eastAsia="zh-CN"/>
        </w:rPr>
        <w:t>等支出</w:t>
      </w:r>
      <w:r>
        <w:rPr>
          <w:rFonts w:hint="eastAsia" w:ascii="仿宋_GB2312" w:hAnsi="Times New Roman" w:eastAsia="仿宋_GB2312" w:cs="Times New Roman"/>
          <w:bCs/>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松阳县</w:t>
      </w:r>
      <w:r>
        <w:rPr>
          <w:rFonts w:hint="eastAsia" w:ascii="仿宋_GB2312" w:eastAsia="仿宋_GB2312"/>
          <w:color w:val="000000"/>
          <w:sz w:val="32"/>
          <w:szCs w:val="32"/>
          <w:highlight w:val="none"/>
          <w:lang w:eastAsia="zh-CN"/>
        </w:rPr>
        <w:t>青少年宫</w:t>
      </w:r>
      <w:r>
        <w:rPr>
          <w:rFonts w:hint="eastAsia" w:ascii="仿宋_GB2312" w:eastAsia="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（九）关于松阳县青少年宫</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松阳县青少年宫</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持平</w:t>
      </w:r>
      <w:r>
        <w:rPr>
          <w:rFonts w:hint="eastAsia" w:ascii="仿宋_GB2312" w:hAnsi="仿宋_GB2312" w:eastAsia="仿宋_GB2312" w:cs="仿宋_GB2312"/>
          <w:sz w:val="32"/>
          <w:szCs w:val="32"/>
          <w:highlight w:val="none"/>
        </w:rPr>
        <w:t>。</w:t>
      </w:r>
      <w:r>
        <w:rPr>
          <w:rFonts w:hint="eastAsia" w:ascii="仿宋_GB2312" w:hAnsi="Times New Roman" w:eastAsia="仿宋_GB2312" w:cs="Times New Roman"/>
          <w:bCs/>
          <w:sz w:val="32"/>
          <w:szCs w:val="32"/>
          <w:highlight w:val="none"/>
        </w:rPr>
        <w:t>主要原因是202</w:t>
      </w:r>
      <w:r>
        <w:rPr>
          <w:rFonts w:hint="eastAsia" w:ascii="仿宋_GB2312" w:eastAsia="仿宋_GB2312" w:cs="Times New Roman"/>
          <w:bCs/>
          <w:sz w:val="32"/>
          <w:szCs w:val="32"/>
          <w:highlight w:val="none"/>
          <w:lang w:val="en-US" w:eastAsia="zh-CN"/>
        </w:rPr>
        <w:t>3</w:t>
      </w:r>
      <w:r>
        <w:rPr>
          <w:rFonts w:hint="eastAsia" w:ascii="仿宋_GB2312" w:hAnsi="Times New Roman" w:eastAsia="仿宋_GB2312" w:cs="Times New Roman"/>
          <w:bCs/>
          <w:sz w:val="32"/>
          <w:szCs w:val="32"/>
          <w:highlight w:val="none"/>
        </w:rPr>
        <w:t>年财政未给</w:t>
      </w:r>
      <w:r>
        <w:rPr>
          <w:rFonts w:hint="eastAsia" w:ascii="仿宋_GB2312" w:eastAsia="仿宋_GB2312" w:cs="Times New Roman"/>
          <w:bCs/>
          <w:sz w:val="32"/>
          <w:szCs w:val="32"/>
          <w:highlight w:val="none"/>
          <w:lang w:eastAsia="zh-CN"/>
        </w:rPr>
        <w:t>松阳县</w:t>
      </w:r>
      <w:r>
        <w:rPr>
          <w:rFonts w:hint="eastAsia" w:ascii="仿宋_GB2312" w:hAnsi="Times New Roman" w:eastAsia="仿宋_GB2312" w:cs="Times New Roman"/>
          <w:bCs/>
          <w:sz w:val="32"/>
          <w:szCs w:val="32"/>
          <w:highlight w:val="none"/>
        </w:rPr>
        <w:t>青少年宫安排“三公”经费预算数</w:t>
      </w:r>
      <w:r>
        <w:rPr>
          <w:rFonts w:hint="eastAsia" w:ascii="仿宋_GB2312" w:eastAsia="仿宋_GB2312" w:cs="Times New Roman"/>
          <w:bCs/>
          <w:sz w:val="32"/>
          <w:szCs w:val="32"/>
          <w:highlight w:val="none"/>
          <w:lang w:eastAsia="zh-CN"/>
        </w:rPr>
        <w:t>，</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持平</w:t>
      </w:r>
      <w:r>
        <w:rPr>
          <w:rFonts w:hint="eastAsia" w:ascii="仿宋_GB2312" w:hAnsi="仿宋_GB2312" w:eastAsia="仿宋_GB2312" w:cs="仿宋_GB2312"/>
          <w:sz w:val="32"/>
          <w:szCs w:val="32"/>
          <w:highlight w:val="none"/>
        </w:rPr>
        <w:t>。主要用于机关及下属预算单位人员公务出国（境）的国际旅费、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r>
        <w:rPr>
          <w:rFonts w:hint="eastAsia" w:ascii="仿宋_GB2312" w:eastAsia="仿宋_GB2312"/>
          <w:sz w:val="32"/>
          <w:szCs w:val="32"/>
          <w:highlight w:val="none"/>
          <w:lang w:val="en-US" w:eastAsia="zh-CN"/>
        </w:rPr>
        <w:t>与上年持平的主要原因</w:t>
      </w:r>
      <w:r>
        <w:rPr>
          <w:rFonts w:hint="eastAsia" w:ascii="仿宋_GB2312" w:hAnsi="仿宋_GB2312" w:eastAsia="仿宋_GB2312" w:cs="仿宋_GB2312"/>
          <w:b w:val="0"/>
          <w:bCs w:val="0"/>
          <w:sz w:val="32"/>
          <w:szCs w:val="32"/>
          <w:highlight w:val="none"/>
          <w:lang w:eastAsia="zh-CN"/>
        </w:rPr>
        <w:t>是该项费用实行全县总额控制，年初暂不下达到具体单位。本部门因工作需要有因公临时出国（境）人员，按规定程序审核审批同意后，财政部门将指标下达给本部门。</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持平</w:t>
      </w:r>
      <w:r>
        <w:rPr>
          <w:rFonts w:hint="eastAsia" w:ascii="仿宋_GB2312" w:hAnsi="仿宋_GB2312" w:eastAsia="仿宋_GB2312" w:cs="仿宋_GB2312"/>
          <w:sz w:val="32"/>
          <w:szCs w:val="32"/>
          <w:highlight w:val="none"/>
        </w:rPr>
        <w:t>。主要用于接待支出。</w:t>
      </w:r>
      <w:r>
        <w:rPr>
          <w:rFonts w:hint="eastAsia" w:ascii="仿宋_GB2312" w:eastAsia="仿宋_GB2312"/>
          <w:sz w:val="32"/>
          <w:szCs w:val="32"/>
          <w:highlight w:val="none"/>
          <w:lang w:val="en-US" w:eastAsia="zh-CN"/>
        </w:rPr>
        <w:t>与上年持平的主要原因</w:t>
      </w:r>
      <w:r>
        <w:rPr>
          <w:rFonts w:hint="eastAsia" w:ascii="仿宋_GB2312" w:hAnsi="仿宋_GB2312" w:eastAsia="仿宋_GB2312" w:cs="仿宋_GB2312"/>
          <w:b w:val="0"/>
          <w:bCs w:val="0"/>
          <w:sz w:val="32"/>
          <w:szCs w:val="32"/>
          <w:highlight w:val="none"/>
          <w:lang w:eastAsia="zh-CN"/>
        </w:rPr>
        <w:t>是</w:t>
      </w:r>
      <w:r>
        <w:rPr>
          <w:rFonts w:hint="eastAsia" w:ascii="仿宋_GB2312" w:hAnsi="Times New Roman" w:eastAsia="仿宋_GB2312" w:cs="Times New Roman"/>
          <w:bCs/>
          <w:sz w:val="32"/>
          <w:szCs w:val="32"/>
          <w:highlight w:val="none"/>
        </w:rPr>
        <w:t>202</w:t>
      </w:r>
      <w:r>
        <w:rPr>
          <w:rFonts w:hint="eastAsia" w:ascii="仿宋_GB2312" w:eastAsia="仿宋_GB2312" w:cs="Times New Roman"/>
          <w:bCs/>
          <w:sz w:val="32"/>
          <w:szCs w:val="32"/>
          <w:highlight w:val="none"/>
          <w:lang w:val="en-US" w:eastAsia="zh-CN"/>
        </w:rPr>
        <w:t>3</w:t>
      </w:r>
      <w:r>
        <w:rPr>
          <w:rFonts w:hint="eastAsia" w:ascii="仿宋_GB2312" w:hAnsi="Times New Roman" w:eastAsia="仿宋_GB2312" w:cs="Times New Roman"/>
          <w:bCs/>
          <w:sz w:val="32"/>
          <w:szCs w:val="32"/>
          <w:highlight w:val="none"/>
        </w:rPr>
        <w:t>年财政未给</w:t>
      </w:r>
      <w:r>
        <w:rPr>
          <w:rFonts w:hint="eastAsia" w:ascii="仿宋_GB2312" w:eastAsia="仿宋_GB2312" w:cs="Times New Roman"/>
          <w:bCs/>
          <w:sz w:val="32"/>
          <w:szCs w:val="32"/>
          <w:highlight w:val="none"/>
          <w:lang w:eastAsia="zh-CN"/>
        </w:rPr>
        <w:t>松阳县</w:t>
      </w:r>
      <w:r>
        <w:rPr>
          <w:rFonts w:hint="eastAsia" w:ascii="仿宋_GB2312" w:hAnsi="Times New Roman" w:eastAsia="仿宋_GB2312" w:cs="Times New Roman"/>
          <w:bCs/>
          <w:sz w:val="32"/>
          <w:szCs w:val="32"/>
          <w:highlight w:val="none"/>
        </w:rPr>
        <w:t>青少年宫安排“三公”经费预算数</w:t>
      </w:r>
      <w:r>
        <w:rPr>
          <w:rFonts w:hint="eastAsia" w:ascii="仿宋_GB2312" w:hAnsi="仿宋_GB2312" w:eastAsia="仿宋_GB2312" w:cs="仿宋_GB2312"/>
          <w:b w:val="0"/>
          <w:bCs w:val="0"/>
          <w:sz w:val="32"/>
          <w:szCs w:val="32"/>
          <w:highlight w:val="none"/>
          <w:lang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持平</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与上年持平主要原因是该项费用实行全县总额控制，年初暂不下达到具体单位。</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lang w:val="en-US" w:eastAsia="zh-CN"/>
        </w:rPr>
        <w:t>持平的</w:t>
      </w:r>
      <w:r>
        <w:rPr>
          <w:rFonts w:hint="eastAsia" w:ascii="仿宋_GB2312" w:eastAsia="仿宋_GB2312"/>
          <w:sz w:val="32"/>
          <w:szCs w:val="32"/>
          <w:highlight w:val="none"/>
          <w:lang w:val="en-US" w:eastAsia="zh-CN"/>
        </w:rPr>
        <w:t>主要原因是该项项费用实行全县总额控制，年初暂不下达到具体单位。</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2023年松阳县</w:t>
      </w:r>
      <w:r>
        <w:rPr>
          <w:rFonts w:hint="eastAsia" w:ascii="仿宋_GB2312" w:eastAsia="仿宋_GB2312"/>
          <w:color w:val="000000"/>
          <w:sz w:val="32"/>
          <w:szCs w:val="32"/>
          <w:highlight w:val="none"/>
          <w:lang w:eastAsia="zh-CN"/>
        </w:rPr>
        <w:t>青少年宫各单位政府采购预算总额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截至2022年12月31日，松阳县</w:t>
      </w:r>
      <w:r>
        <w:rPr>
          <w:rFonts w:hint="eastAsia" w:ascii="仿宋_GB2312" w:hAnsi="仿宋_GB2312" w:eastAsia="仿宋_GB2312" w:cs="仿宋_GB2312"/>
          <w:color w:val="auto"/>
          <w:spacing w:val="6"/>
          <w:sz w:val="32"/>
          <w:szCs w:val="32"/>
          <w:highlight w:val="none"/>
          <w:lang w:eastAsia="zh-CN"/>
        </w:rPr>
        <w:t>青少年宫所属各预算单位共有车辆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青少年宫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2023年松阳县青少年宫其他运转类项目和特定目标类项目均实行绩效目标管理，涉及一般公共预算当年拨款0万元，一级项目1个。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13．一般公共服务支出（类）群众团体事务（款）事业运行（项）反映事业单位的基本支出，不包括行政单位（包括实行公务员管理的事业单位）后勤服务中心、医务室等附属事业单位。</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14.</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5</w:t>
      </w:r>
      <w:r>
        <w:rPr>
          <w:rFonts w:hint="eastAsia" w:ascii="仿宋_GB2312" w:hAnsi="宋体" w:eastAsia="仿宋_GB2312" w:cs="仿宋_GB2312"/>
          <w:i w:val="0"/>
          <w:caps w:val="0"/>
          <w:color w:val="000000"/>
          <w:spacing w:val="0"/>
          <w:sz w:val="31"/>
          <w:szCs w:val="31"/>
          <w:u w:val="none"/>
          <w:shd w:val="clear" w:fill="FFFFFF"/>
          <w:lang w:val="en-US" w:eastAsia="zh-CN"/>
        </w:rPr>
        <w:t>.</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6</w:t>
      </w:r>
      <w:r>
        <w:rPr>
          <w:rFonts w:hint="eastAsia" w:ascii="仿宋_GB2312" w:hAnsi="宋体" w:eastAsia="仿宋_GB2312" w:cs="仿宋_GB2312"/>
          <w:i w:val="0"/>
          <w:caps w:val="0"/>
          <w:color w:val="000000"/>
          <w:spacing w:val="0"/>
          <w:sz w:val="31"/>
          <w:szCs w:val="31"/>
          <w:u w:val="none"/>
          <w:shd w:val="clear" w:fill="FFFFFF"/>
          <w:lang w:val="en-US" w:eastAsia="zh-CN"/>
        </w:rPr>
        <w:t>.</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7</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8</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pStyle w:val="2"/>
        <w:ind w:firstLine="640"/>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eastAsia" w:cs="仿宋_GB2312"/>
          <w:color w:val="auto"/>
          <w:kern w:val="2"/>
          <w:sz w:val="32"/>
          <w:szCs w:val="32"/>
          <w:highlight w:val="none"/>
          <w:lang w:val="en-US" w:eastAsia="zh-CN" w:bidi="ar-SA"/>
        </w:rPr>
        <w:t>9</w:t>
      </w:r>
      <w:r>
        <w:rPr>
          <w:rFonts w:hint="eastAsia" w:ascii="仿宋_GB2312" w:hAnsi="仿宋_GB2312" w:eastAsia="仿宋_GB2312" w:cs="仿宋_GB2312"/>
          <w:color w:val="auto"/>
          <w:kern w:val="2"/>
          <w:sz w:val="32"/>
          <w:szCs w:val="32"/>
          <w:highlight w:val="none"/>
          <w:lang w:val="en-US" w:eastAsia="zh-CN" w:bidi="ar-SA"/>
        </w:rPr>
        <w:t>.其他支出（类）其他政府性基金及对应专项债务收安排的支出（款）其他政府性基金安排的支出（项）反映其他政府性基金安排的支出（包括用以前年度欠款收入安排的支出）</w:t>
      </w:r>
      <w:r>
        <w:rPr>
          <w:rFonts w:hint="eastAsia" w:cs="仿宋_GB2312"/>
          <w:color w:val="auto"/>
          <w:kern w:val="2"/>
          <w:sz w:val="32"/>
          <w:szCs w:val="32"/>
          <w:highlight w:val="none"/>
          <w:lang w:val="en-US" w:eastAsia="zh-CN" w:bidi="ar-SA"/>
        </w:rPr>
        <w:t>。</w:t>
      </w:r>
      <w:bookmarkStart w:id="0" w:name="_GoBack"/>
      <w:bookmarkEnd w:id="0"/>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g3NTRjMDc2YjM2ZGUzZWM0MzIyNTU2YWJkM2IifQ=="/>
  </w:docVars>
  <w:rsids>
    <w:rsidRoot w:val="00000000"/>
    <w:rsid w:val="00BB4E36"/>
    <w:rsid w:val="00C44682"/>
    <w:rsid w:val="01843ADB"/>
    <w:rsid w:val="01871949"/>
    <w:rsid w:val="01A33AFE"/>
    <w:rsid w:val="0432483D"/>
    <w:rsid w:val="04D7642A"/>
    <w:rsid w:val="067D65EF"/>
    <w:rsid w:val="06AC494D"/>
    <w:rsid w:val="0946001C"/>
    <w:rsid w:val="09A835C0"/>
    <w:rsid w:val="09C676BC"/>
    <w:rsid w:val="0AC534D0"/>
    <w:rsid w:val="0C014F6D"/>
    <w:rsid w:val="0CCB1682"/>
    <w:rsid w:val="0D98567C"/>
    <w:rsid w:val="0E1C6B6A"/>
    <w:rsid w:val="0E590236"/>
    <w:rsid w:val="0E873021"/>
    <w:rsid w:val="0FE92447"/>
    <w:rsid w:val="10392996"/>
    <w:rsid w:val="10465DDA"/>
    <w:rsid w:val="11641E21"/>
    <w:rsid w:val="125B4450"/>
    <w:rsid w:val="12AC72CA"/>
    <w:rsid w:val="157D714E"/>
    <w:rsid w:val="1628721C"/>
    <w:rsid w:val="166D0E1D"/>
    <w:rsid w:val="16963E20"/>
    <w:rsid w:val="16EF5067"/>
    <w:rsid w:val="1B4A2560"/>
    <w:rsid w:val="1BBB6955"/>
    <w:rsid w:val="1BC17CE4"/>
    <w:rsid w:val="1BC20B26"/>
    <w:rsid w:val="1BDC7A5D"/>
    <w:rsid w:val="1C753D25"/>
    <w:rsid w:val="1C7A5D5E"/>
    <w:rsid w:val="1DE86DA9"/>
    <w:rsid w:val="1ED74D17"/>
    <w:rsid w:val="1FCB1131"/>
    <w:rsid w:val="210512B6"/>
    <w:rsid w:val="245B3CCB"/>
    <w:rsid w:val="255258CA"/>
    <w:rsid w:val="26192901"/>
    <w:rsid w:val="27AF99D0"/>
    <w:rsid w:val="285F205A"/>
    <w:rsid w:val="2A1A780D"/>
    <w:rsid w:val="2AED4101"/>
    <w:rsid w:val="2F7A12E8"/>
    <w:rsid w:val="309C371D"/>
    <w:rsid w:val="30C5614D"/>
    <w:rsid w:val="30C87F7F"/>
    <w:rsid w:val="30CF28EC"/>
    <w:rsid w:val="32FF21F7"/>
    <w:rsid w:val="33D0157A"/>
    <w:rsid w:val="35101668"/>
    <w:rsid w:val="35A43758"/>
    <w:rsid w:val="3675291B"/>
    <w:rsid w:val="3787034C"/>
    <w:rsid w:val="3ADF0D1D"/>
    <w:rsid w:val="3BEB67D3"/>
    <w:rsid w:val="3C48729C"/>
    <w:rsid w:val="3DE2791A"/>
    <w:rsid w:val="3E054CA0"/>
    <w:rsid w:val="3E663D4F"/>
    <w:rsid w:val="3F991832"/>
    <w:rsid w:val="40EF5E2E"/>
    <w:rsid w:val="41260B4E"/>
    <w:rsid w:val="41F12821"/>
    <w:rsid w:val="43FD36FF"/>
    <w:rsid w:val="4413460B"/>
    <w:rsid w:val="44996C3B"/>
    <w:rsid w:val="45551579"/>
    <w:rsid w:val="476F0C12"/>
    <w:rsid w:val="479F1816"/>
    <w:rsid w:val="47B16CDB"/>
    <w:rsid w:val="486419EF"/>
    <w:rsid w:val="48C9653B"/>
    <w:rsid w:val="497F6DF7"/>
    <w:rsid w:val="4AFA32A4"/>
    <w:rsid w:val="4BB74194"/>
    <w:rsid w:val="4C9F42C1"/>
    <w:rsid w:val="4CD12C98"/>
    <w:rsid w:val="4D3B5D0F"/>
    <w:rsid w:val="4E6D76D3"/>
    <w:rsid w:val="4ECE091E"/>
    <w:rsid w:val="4F0B6629"/>
    <w:rsid w:val="53D100FD"/>
    <w:rsid w:val="54C31518"/>
    <w:rsid w:val="55401CDD"/>
    <w:rsid w:val="5579695E"/>
    <w:rsid w:val="55CF6795"/>
    <w:rsid w:val="56432923"/>
    <w:rsid w:val="5680054C"/>
    <w:rsid w:val="571E649C"/>
    <w:rsid w:val="57330C36"/>
    <w:rsid w:val="57D8570A"/>
    <w:rsid w:val="57E467BC"/>
    <w:rsid w:val="5BF9A05E"/>
    <w:rsid w:val="5C1C068B"/>
    <w:rsid w:val="5CA47F6C"/>
    <w:rsid w:val="63D7760E"/>
    <w:rsid w:val="6489733D"/>
    <w:rsid w:val="662A6B3A"/>
    <w:rsid w:val="68BC3FCB"/>
    <w:rsid w:val="68F13985"/>
    <w:rsid w:val="69FD7A2D"/>
    <w:rsid w:val="6E45421E"/>
    <w:rsid w:val="6E5FE9CF"/>
    <w:rsid w:val="70457C53"/>
    <w:rsid w:val="71F25676"/>
    <w:rsid w:val="74656AB5"/>
    <w:rsid w:val="753064B9"/>
    <w:rsid w:val="759C24D2"/>
    <w:rsid w:val="76442312"/>
    <w:rsid w:val="76DFF3BC"/>
    <w:rsid w:val="77FF0865"/>
    <w:rsid w:val="78880AE2"/>
    <w:rsid w:val="793A5ACA"/>
    <w:rsid w:val="7979562E"/>
    <w:rsid w:val="79AD5421"/>
    <w:rsid w:val="7A100376"/>
    <w:rsid w:val="7AC4607A"/>
    <w:rsid w:val="7B4B4DA3"/>
    <w:rsid w:val="7B9C030C"/>
    <w:rsid w:val="7CFB18E8"/>
    <w:rsid w:val="7D641B1E"/>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4639</Words>
  <Characters>5075</Characters>
  <Lines>0</Lines>
  <Paragraphs>0</Paragraphs>
  <TotalTime>1</TotalTime>
  <ScaleCrop>false</ScaleCrop>
  <LinksUpToDate>false</LinksUpToDate>
  <CharactersWithSpaces>5110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松阳县团委文书</cp:lastModifiedBy>
  <cp:lastPrinted>2022-02-11T18:36:00Z</cp:lastPrinted>
  <dcterms:modified xsi:type="dcterms:W3CDTF">2023-03-23T03:45:27Z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F5C1B885171B4082ABDDE5B84F6E814D</vt:lpwstr>
  </property>
</Properties>
</file>